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E6" w:rsidRPr="002625B8" w:rsidRDefault="005547E6" w:rsidP="00554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5B8">
        <w:rPr>
          <w:rFonts w:ascii="Times New Roman" w:hAnsi="Times New Roman" w:cs="Times New Roman"/>
          <w:b/>
          <w:sz w:val="28"/>
          <w:szCs w:val="28"/>
        </w:rPr>
        <w:t>Обзор обращений граждан,</w:t>
      </w:r>
    </w:p>
    <w:p w:rsidR="005547E6" w:rsidRDefault="005547E6" w:rsidP="00554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25B8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2625B8">
        <w:rPr>
          <w:rFonts w:ascii="Times New Roman" w:hAnsi="Times New Roman" w:cs="Times New Roman"/>
          <w:b/>
          <w:sz w:val="28"/>
          <w:szCs w:val="28"/>
        </w:rPr>
        <w:t xml:space="preserve"> в Вер</w:t>
      </w:r>
      <w:r>
        <w:rPr>
          <w:rFonts w:ascii="Times New Roman" w:hAnsi="Times New Roman" w:cs="Times New Roman"/>
          <w:b/>
          <w:sz w:val="28"/>
          <w:szCs w:val="28"/>
        </w:rPr>
        <w:t>ховный Совет Республики Хакасия,</w:t>
      </w:r>
    </w:p>
    <w:p w:rsidR="005547E6" w:rsidRDefault="005547E6" w:rsidP="00554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 год</w:t>
      </w:r>
    </w:p>
    <w:p w:rsidR="005547E6" w:rsidRPr="002625B8" w:rsidRDefault="005547E6" w:rsidP="00554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E3E" w:rsidRDefault="005547E6" w:rsidP="00997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72">
        <w:rPr>
          <w:rFonts w:ascii="Times New Roman" w:hAnsi="Times New Roman" w:cs="Times New Roman"/>
          <w:sz w:val="28"/>
          <w:szCs w:val="28"/>
        </w:rPr>
        <w:t xml:space="preserve">В 2024 году в Верховный Совет Республики Хакасия (далее – Верховный Совет) поступило </w:t>
      </w:r>
      <w:r>
        <w:rPr>
          <w:rFonts w:ascii="Times New Roman" w:hAnsi="Times New Roman" w:cs="Times New Roman"/>
          <w:b/>
          <w:sz w:val="28"/>
          <w:szCs w:val="28"/>
        </w:rPr>
        <w:t>223</w:t>
      </w:r>
      <w:r w:rsidRPr="00D84372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A56BBD">
        <w:rPr>
          <w:rFonts w:ascii="Times New Roman" w:hAnsi="Times New Roman" w:cs="Times New Roman"/>
          <w:sz w:val="28"/>
          <w:szCs w:val="28"/>
        </w:rPr>
        <w:t>ых</w:t>
      </w:r>
      <w:r w:rsidRPr="00D8437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56BBD">
        <w:rPr>
          <w:rFonts w:ascii="Times New Roman" w:hAnsi="Times New Roman" w:cs="Times New Roman"/>
          <w:sz w:val="28"/>
          <w:szCs w:val="28"/>
        </w:rPr>
        <w:t>й</w:t>
      </w:r>
      <w:r w:rsidRPr="00D84372">
        <w:rPr>
          <w:rFonts w:ascii="Times New Roman" w:hAnsi="Times New Roman" w:cs="Times New Roman"/>
          <w:sz w:val="28"/>
          <w:szCs w:val="28"/>
        </w:rPr>
        <w:t xml:space="preserve"> о</w:t>
      </w:r>
      <w:r w:rsidR="000C5E7B">
        <w:rPr>
          <w:rFonts w:ascii="Times New Roman" w:hAnsi="Times New Roman" w:cs="Times New Roman"/>
          <w:sz w:val="28"/>
          <w:szCs w:val="28"/>
        </w:rPr>
        <w:t xml:space="preserve">т граждан и объединений граждан, </w:t>
      </w:r>
      <w:r w:rsidR="000C5E7B" w:rsidRPr="00F4187F">
        <w:rPr>
          <w:rFonts w:ascii="Times New Roman" w:hAnsi="Times New Roman" w:cs="Times New Roman"/>
          <w:sz w:val="28"/>
          <w:szCs w:val="28"/>
        </w:rPr>
        <w:t>направленных на имя Председателя Верховного Совета Республики Хакасия, его заместителей, председателей комитетов и комисси</w:t>
      </w:r>
      <w:r w:rsidR="000D4628">
        <w:rPr>
          <w:rFonts w:ascii="Times New Roman" w:hAnsi="Times New Roman" w:cs="Times New Roman"/>
          <w:sz w:val="28"/>
          <w:szCs w:val="28"/>
        </w:rPr>
        <w:t xml:space="preserve">и </w:t>
      </w:r>
      <w:r w:rsidR="000D4628" w:rsidRPr="00F4187F">
        <w:rPr>
          <w:rFonts w:ascii="Times New Roman" w:hAnsi="Times New Roman" w:cs="Times New Roman"/>
          <w:sz w:val="28"/>
          <w:szCs w:val="28"/>
        </w:rPr>
        <w:t>Верховного Совета</w:t>
      </w:r>
      <w:r w:rsidR="00997E3E">
        <w:rPr>
          <w:rFonts w:ascii="Times New Roman" w:hAnsi="Times New Roman" w:cs="Times New Roman"/>
          <w:sz w:val="28"/>
          <w:szCs w:val="28"/>
        </w:rPr>
        <w:t>.</w:t>
      </w:r>
    </w:p>
    <w:p w:rsidR="000C5E7B" w:rsidRPr="00F4187F" w:rsidRDefault="00997E3E" w:rsidP="00997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7F">
        <w:rPr>
          <w:rFonts w:ascii="Times New Roman" w:hAnsi="Times New Roman" w:cs="Times New Roman"/>
          <w:sz w:val="28"/>
          <w:szCs w:val="28"/>
        </w:rPr>
        <w:t>Рассмотрение обращений граждан осуществляется в соответствии с Федеральным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4187F">
        <w:rPr>
          <w:rFonts w:ascii="Times New Roman" w:hAnsi="Times New Roman" w:cs="Times New Roman"/>
          <w:sz w:val="28"/>
          <w:szCs w:val="28"/>
        </w:rPr>
        <w:t xml:space="preserve"> от 02.05.2006 года № 59-ФЗ «О порядке рассмотрения обращений граждан Российской Федерации»</w:t>
      </w:r>
      <w:r w:rsidR="000C5E7B" w:rsidRPr="00F4187F">
        <w:rPr>
          <w:rFonts w:ascii="Times New Roman" w:hAnsi="Times New Roman" w:cs="Times New Roman"/>
          <w:sz w:val="28"/>
          <w:szCs w:val="28"/>
        </w:rPr>
        <w:t>.</w:t>
      </w:r>
    </w:p>
    <w:p w:rsidR="00997E3E" w:rsidRPr="00F4187F" w:rsidRDefault="00997E3E" w:rsidP="00997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7F">
        <w:rPr>
          <w:rFonts w:ascii="Times New Roman" w:hAnsi="Times New Roman" w:cs="Times New Roman"/>
          <w:sz w:val="28"/>
          <w:szCs w:val="28"/>
        </w:rPr>
        <w:t>Анализ обращений граждан показывает, что, по сравнению с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187F">
        <w:rPr>
          <w:rFonts w:ascii="Times New Roman" w:hAnsi="Times New Roman" w:cs="Times New Roman"/>
          <w:sz w:val="28"/>
          <w:szCs w:val="28"/>
        </w:rPr>
        <w:t xml:space="preserve"> годом, количество обращений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187F">
        <w:rPr>
          <w:rFonts w:ascii="Times New Roman" w:hAnsi="Times New Roman" w:cs="Times New Roman"/>
          <w:sz w:val="28"/>
          <w:szCs w:val="28"/>
        </w:rPr>
        <w:t xml:space="preserve"> году увеличилось в </w:t>
      </w:r>
      <w:r>
        <w:rPr>
          <w:rFonts w:ascii="Times New Roman" w:hAnsi="Times New Roman" w:cs="Times New Roman"/>
          <w:sz w:val="28"/>
          <w:szCs w:val="28"/>
        </w:rPr>
        <w:t>1,3</w:t>
      </w:r>
      <w:r w:rsidRPr="00F4187F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а: 2023</w:t>
      </w:r>
      <w:r w:rsidRPr="00F4187F">
        <w:rPr>
          <w:rFonts w:ascii="Times New Roman" w:hAnsi="Times New Roman" w:cs="Times New Roman"/>
          <w:sz w:val="28"/>
          <w:szCs w:val="28"/>
        </w:rPr>
        <w:t xml:space="preserve"> год –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4187F">
        <w:rPr>
          <w:rFonts w:ascii="Times New Roman" w:hAnsi="Times New Roman" w:cs="Times New Roman"/>
          <w:sz w:val="28"/>
          <w:szCs w:val="28"/>
        </w:rPr>
        <w:t>0 обращений,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187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223</w:t>
      </w:r>
      <w:r w:rsidRPr="00F4187F">
        <w:rPr>
          <w:rFonts w:ascii="Times New Roman" w:hAnsi="Times New Roman" w:cs="Times New Roman"/>
          <w:sz w:val="28"/>
          <w:szCs w:val="28"/>
        </w:rPr>
        <w:t>.</w:t>
      </w:r>
    </w:p>
    <w:p w:rsidR="00997E3E" w:rsidRDefault="00997E3E" w:rsidP="00554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7E3E" w:rsidRDefault="00997E3E" w:rsidP="00554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97E3E" w:rsidRDefault="00997E3E" w:rsidP="00554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7C6C" w:rsidRDefault="009C353D" w:rsidP="00554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обращений, поступивших в</w:t>
      </w:r>
      <w:r w:rsidRPr="009C353D">
        <w:rPr>
          <w:rFonts w:ascii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hAnsi="Times New Roman" w:cs="Times New Roman"/>
          <w:sz w:val="28"/>
          <w:szCs w:val="28"/>
        </w:rPr>
        <w:t>Верховный Совет</w:t>
      </w:r>
      <w:r>
        <w:rPr>
          <w:rFonts w:ascii="Times New Roman" w:hAnsi="Times New Roman" w:cs="Times New Roman"/>
          <w:sz w:val="28"/>
          <w:szCs w:val="28"/>
        </w:rPr>
        <w:t xml:space="preserve"> в 2024 году, </w:t>
      </w:r>
    </w:p>
    <w:p w:rsidR="009C353D" w:rsidRDefault="009C353D" w:rsidP="00554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месяцам:</w:t>
      </w:r>
    </w:p>
    <w:p w:rsidR="008611CF" w:rsidRPr="00D84372" w:rsidRDefault="008611CF" w:rsidP="00861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5812"/>
      </w:tblGrid>
      <w:tr w:rsidR="008611CF" w:rsidRPr="00D84372" w:rsidTr="00EB7C6C">
        <w:tc>
          <w:tcPr>
            <w:tcW w:w="2835" w:type="dxa"/>
          </w:tcPr>
          <w:p w:rsidR="008611CF" w:rsidRPr="00D84372" w:rsidRDefault="008611CF" w:rsidP="000D5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:rsidR="008611CF" w:rsidRPr="00D84372" w:rsidRDefault="008611CF" w:rsidP="000D5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611CF" w:rsidRPr="00D84372" w:rsidRDefault="008611CF" w:rsidP="000D5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</w:tr>
      <w:tr w:rsidR="008611CF" w:rsidRPr="00D84372" w:rsidTr="00EB7C6C">
        <w:tc>
          <w:tcPr>
            <w:tcW w:w="2835" w:type="dxa"/>
          </w:tcPr>
          <w:p w:rsidR="008611CF" w:rsidRPr="00D84372" w:rsidRDefault="008611CF" w:rsidP="000D5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12" w:type="dxa"/>
          </w:tcPr>
          <w:p w:rsidR="008611CF" w:rsidRPr="00D84372" w:rsidRDefault="008611CF" w:rsidP="000D5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611CF" w:rsidRPr="00D84372" w:rsidTr="00EB7C6C">
        <w:tc>
          <w:tcPr>
            <w:tcW w:w="2835" w:type="dxa"/>
          </w:tcPr>
          <w:p w:rsidR="008611CF" w:rsidRPr="00D84372" w:rsidRDefault="008611CF" w:rsidP="000D5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</w:tcPr>
          <w:p w:rsidR="008611CF" w:rsidRPr="00D84372" w:rsidRDefault="008611CF" w:rsidP="000D5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611CF" w:rsidRPr="00D84372" w:rsidTr="00EB7C6C">
        <w:tc>
          <w:tcPr>
            <w:tcW w:w="2835" w:type="dxa"/>
          </w:tcPr>
          <w:p w:rsidR="008611CF" w:rsidRPr="00D84372" w:rsidRDefault="008611CF" w:rsidP="000D5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2" w:type="dxa"/>
          </w:tcPr>
          <w:p w:rsidR="008611CF" w:rsidRPr="00D84372" w:rsidRDefault="008611CF" w:rsidP="000D5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611CF" w:rsidRPr="00D84372" w:rsidTr="00EB7C6C">
        <w:tc>
          <w:tcPr>
            <w:tcW w:w="2835" w:type="dxa"/>
          </w:tcPr>
          <w:p w:rsidR="008611CF" w:rsidRPr="00D84372" w:rsidRDefault="008611CF" w:rsidP="000D5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</w:tcPr>
          <w:p w:rsidR="008611CF" w:rsidRPr="00D84372" w:rsidRDefault="008611CF" w:rsidP="000D5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611CF" w:rsidRPr="00D84372" w:rsidTr="00EB7C6C">
        <w:tc>
          <w:tcPr>
            <w:tcW w:w="2835" w:type="dxa"/>
          </w:tcPr>
          <w:p w:rsidR="008611CF" w:rsidRPr="00D84372" w:rsidRDefault="008611CF" w:rsidP="000D5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8611CF" w:rsidRPr="00D84372" w:rsidRDefault="008611CF" w:rsidP="000D5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611CF" w:rsidRPr="00D84372" w:rsidTr="00EB7C6C">
        <w:tc>
          <w:tcPr>
            <w:tcW w:w="2835" w:type="dxa"/>
          </w:tcPr>
          <w:p w:rsidR="008611CF" w:rsidRPr="00D84372" w:rsidRDefault="008611CF" w:rsidP="000D5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</w:tcPr>
          <w:p w:rsidR="008611CF" w:rsidRPr="00D84372" w:rsidRDefault="008611CF" w:rsidP="000D5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611CF" w:rsidRPr="00D84372" w:rsidTr="00EB7C6C">
        <w:tc>
          <w:tcPr>
            <w:tcW w:w="2835" w:type="dxa"/>
          </w:tcPr>
          <w:p w:rsidR="008611CF" w:rsidRPr="00D84372" w:rsidRDefault="008611CF" w:rsidP="000D5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5812" w:type="dxa"/>
          </w:tcPr>
          <w:p w:rsidR="008611CF" w:rsidRPr="00D84372" w:rsidRDefault="008611CF" w:rsidP="000D5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611CF" w:rsidRPr="00D84372" w:rsidTr="00EB7C6C">
        <w:tc>
          <w:tcPr>
            <w:tcW w:w="2835" w:type="dxa"/>
          </w:tcPr>
          <w:p w:rsidR="008611CF" w:rsidRPr="00D84372" w:rsidRDefault="008611CF" w:rsidP="000D5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812" w:type="dxa"/>
          </w:tcPr>
          <w:p w:rsidR="008611CF" w:rsidRPr="00D84372" w:rsidRDefault="008611CF" w:rsidP="000D5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611CF" w:rsidRPr="00D84372" w:rsidTr="00EB7C6C">
        <w:tc>
          <w:tcPr>
            <w:tcW w:w="2835" w:type="dxa"/>
          </w:tcPr>
          <w:p w:rsidR="008611CF" w:rsidRPr="00D84372" w:rsidRDefault="008611CF" w:rsidP="000D53D7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12" w:type="dxa"/>
          </w:tcPr>
          <w:p w:rsidR="008611CF" w:rsidRPr="00D84372" w:rsidRDefault="008611CF" w:rsidP="000D5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611CF" w:rsidRPr="00D84372" w:rsidTr="00EB7C6C">
        <w:tc>
          <w:tcPr>
            <w:tcW w:w="2835" w:type="dxa"/>
          </w:tcPr>
          <w:p w:rsidR="008611CF" w:rsidRPr="00D84372" w:rsidRDefault="008611CF" w:rsidP="000D5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2" w:type="dxa"/>
          </w:tcPr>
          <w:p w:rsidR="008611CF" w:rsidRPr="00D84372" w:rsidRDefault="008611CF" w:rsidP="000D5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611CF" w:rsidRPr="00D84372" w:rsidTr="00EB7C6C">
        <w:tc>
          <w:tcPr>
            <w:tcW w:w="2835" w:type="dxa"/>
          </w:tcPr>
          <w:p w:rsidR="008611CF" w:rsidRPr="00D84372" w:rsidRDefault="008611CF" w:rsidP="000D5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812" w:type="dxa"/>
          </w:tcPr>
          <w:p w:rsidR="008611CF" w:rsidRPr="005547E6" w:rsidRDefault="008611CF" w:rsidP="000D5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E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611CF" w:rsidRPr="00D84372" w:rsidTr="00EB7C6C">
        <w:tc>
          <w:tcPr>
            <w:tcW w:w="2835" w:type="dxa"/>
          </w:tcPr>
          <w:p w:rsidR="008611CF" w:rsidRPr="00D84372" w:rsidRDefault="008611CF" w:rsidP="000D5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812" w:type="dxa"/>
          </w:tcPr>
          <w:p w:rsidR="008611CF" w:rsidRPr="005547E6" w:rsidRDefault="008611CF" w:rsidP="000D5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611CF" w:rsidRPr="00D84372" w:rsidTr="00EB7C6C">
        <w:tc>
          <w:tcPr>
            <w:tcW w:w="2835" w:type="dxa"/>
          </w:tcPr>
          <w:p w:rsidR="00EB7C6C" w:rsidRDefault="00EB7C6C" w:rsidP="000D53D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F" w:rsidRPr="00D84372" w:rsidRDefault="008611CF" w:rsidP="000D53D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5812" w:type="dxa"/>
          </w:tcPr>
          <w:p w:rsidR="00EB7C6C" w:rsidRDefault="00EB7C6C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1CF" w:rsidRPr="00D84372" w:rsidRDefault="008611CF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8611CF" w:rsidRDefault="008611CF" w:rsidP="008611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53D" w:rsidRDefault="009C353D" w:rsidP="004E66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поступивших обращений в 2023 и 2024 годах</w:t>
      </w:r>
    </w:p>
    <w:p w:rsidR="008611CF" w:rsidRDefault="009C353D" w:rsidP="009C35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месяцам):</w:t>
      </w:r>
    </w:p>
    <w:p w:rsidR="008611CF" w:rsidRDefault="008611CF" w:rsidP="008611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11CF" w:rsidRDefault="008611CF" w:rsidP="00554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EF50B5" wp14:editId="1DF80F71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611CF" w:rsidRDefault="008611CF" w:rsidP="00554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7E3E" w:rsidRPr="00D84372" w:rsidRDefault="00997E3E" w:rsidP="00997E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372">
        <w:rPr>
          <w:rFonts w:ascii="Times New Roman" w:hAnsi="Times New Roman" w:cs="Times New Roman"/>
          <w:sz w:val="28"/>
          <w:szCs w:val="28"/>
        </w:rPr>
        <w:t xml:space="preserve">В Верховный Совет обращения поступают непосредственно от заявителей (лично), через почту России, посредством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интернет-приемной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и электронной почты. </w:t>
      </w:r>
    </w:p>
    <w:p w:rsidR="00997E3E" w:rsidRPr="00D84372" w:rsidRDefault="00997E3E" w:rsidP="00997E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372">
        <w:rPr>
          <w:rFonts w:ascii="Times New Roman" w:hAnsi="Times New Roman" w:cs="Times New Roman"/>
          <w:sz w:val="28"/>
          <w:szCs w:val="28"/>
        </w:rPr>
        <w:t>Из них:</w:t>
      </w:r>
    </w:p>
    <w:p w:rsidR="00997E3E" w:rsidRPr="006B37B0" w:rsidRDefault="00997E3E" w:rsidP="00997E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B37B0">
        <w:rPr>
          <w:rFonts w:ascii="Times New Roman" w:hAnsi="Times New Roman" w:cs="Times New Roman"/>
          <w:sz w:val="28"/>
          <w:szCs w:val="28"/>
        </w:rPr>
        <w:t xml:space="preserve">- </w:t>
      </w:r>
      <w:r w:rsidRPr="006B37B0">
        <w:rPr>
          <w:rFonts w:ascii="Times New Roman" w:hAnsi="Times New Roman" w:cs="Times New Roman"/>
          <w:b/>
          <w:sz w:val="28"/>
          <w:szCs w:val="28"/>
        </w:rPr>
        <w:t>90</w:t>
      </w:r>
      <w:r w:rsidRPr="006B37B0">
        <w:rPr>
          <w:rFonts w:ascii="Times New Roman" w:hAnsi="Times New Roman" w:cs="Times New Roman"/>
          <w:sz w:val="28"/>
          <w:szCs w:val="28"/>
        </w:rPr>
        <w:t xml:space="preserve"> (40,4 %) обращений доставлено лично</w:t>
      </w:r>
    </w:p>
    <w:p w:rsidR="00997E3E" w:rsidRPr="006B37B0" w:rsidRDefault="00997E3E" w:rsidP="00997E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B37B0">
        <w:rPr>
          <w:rFonts w:ascii="Times New Roman" w:hAnsi="Times New Roman" w:cs="Times New Roman"/>
          <w:sz w:val="28"/>
          <w:szCs w:val="28"/>
        </w:rPr>
        <w:t xml:space="preserve">- </w:t>
      </w:r>
      <w:r w:rsidRPr="006B37B0">
        <w:rPr>
          <w:rFonts w:ascii="Times New Roman" w:hAnsi="Times New Roman" w:cs="Times New Roman"/>
          <w:b/>
          <w:sz w:val="28"/>
          <w:szCs w:val="28"/>
        </w:rPr>
        <w:t xml:space="preserve">39 </w:t>
      </w:r>
      <w:r w:rsidRPr="006B37B0">
        <w:rPr>
          <w:rFonts w:ascii="Times New Roman" w:hAnsi="Times New Roman" w:cs="Times New Roman"/>
          <w:sz w:val="28"/>
          <w:szCs w:val="28"/>
        </w:rPr>
        <w:t xml:space="preserve">(17,4 %) доставлено почтой РФ; </w:t>
      </w:r>
    </w:p>
    <w:p w:rsidR="00997E3E" w:rsidRDefault="00997E3E" w:rsidP="00997E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B37B0">
        <w:rPr>
          <w:rFonts w:ascii="Times New Roman" w:hAnsi="Times New Roman" w:cs="Times New Roman"/>
          <w:sz w:val="28"/>
          <w:szCs w:val="28"/>
        </w:rPr>
        <w:t xml:space="preserve">- </w:t>
      </w:r>
      <w:r w:rsidRPr="006B37B0">
        <w:rPr>
          <w:rFonts w:ascii="Times New Roman" w:hAnsi="Times New Roman" w:cs="Times New Roman"/>
          <w:b/>
          <w:sz w:val="28"/>
          <w:szCs w:val="28"/>
        </w:rPr>
        <w:t>94</w:t>
      </w:r>
      <w:r w:rsidRPr="006B37B0">
        <w:rPr>
          <w:rFonts w:ascii="Times New Roman" w:hAnsi="Times New Roman" w:cs="Times New Roman"/>
          <w:sz w:val="28"/>
          <w:szCs w:val="28"/>
        </w:rPr>
        <w:t xml:space="preserve"> (42,2 %) по</w:t>
      </w:r>
      <w:r w:rsidRPr="00D84372">
        <w:rPr>
          <w:rFonts w:ascii="Times New Roman" w:hAnsi="Times New Roman" w:cs="Times New Roman"/>
          <w:sz w:val="28"/>
          <w:szCs w:val="28"/>
        </w:rPr>
        <w:t>ступили через интернет-приемную, электронную почту Верховного Совета</w:t>
      </w:r>
      <w:r w:rsidR="00C106AD">
        <w:rPr>
          <w:rFonts w:ascii="Times New Roman" w:hAnsi="Times New Roman" w:cs="Times New Roman"/>
          <w:sz w:val="28"/>
          <w:szCs w:val="28"/>
        </w:rPr>
        <w:t>.</w:t>
      </w:r>
    </w:p>
    <w:p w:rsidR="00C106AD" w:rsidRPr="00D84372" w:rsidRDefault="00C106AD" w:rsidP="00C10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снятия ограничительных мер, введенных в результате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как в 2023 году, так и в 2024 </w:t>
      </w:r>
      <w:r w:rsidRPr="00181DF7">
        <w:rPr>
          <w:rFonts w:ascii="Times New Roman" w:hAnsi="Times New Roman" w:cs="Times New Roman"/>
          <w:sz w:val="28"/>
          <w:szCs w:val="28"/>
        </w:rPr>
        <w:t xml:space="preserve">отмечается увеличение количества лично обратившихся граждан – </w:t>
      </w:r>
      <w:r>
        <w:rPr>
          <w:rFonts w:ascii="Times New Roman" w:hAnsi="Times New Roman" w:cs="Times New Roman"/>
          <w:sz w:val="28"/>
          <w:szCs w:val="28"/>
        </w:rPr>
        <w:t>90.</w:t>
      </w:r>
    </w:p>
    <w:p w:rsidR="00997E3E" w:rsidRDefault="00997E3E" w:rsidP="00997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72">
        <w:rPr>
          <w:rFonts w:ascii="Times New Roman" w:hAnsi="Times New Roman" w:cs="Times New Roman"/>
          <w:sz w:val="28"/>
          <w:szCs w:val="28"/>
        </w:rPr>
        <w:t xml:space="preserve">Обращения граждан, поступившие в форме электронного документа, составляют </w:t>
      </w:r>
      <w:r>
        <w:rPr>
          <w:rFonts w:ascii="Times New Roman" w:hAnsi="Times New Roman" w:cs="Times New Roman"/>
          <w:sz w:val="28"/>
          <w:szCs w:val="28"/>
        </w:rPr>
        <w:t>42,2</w:t>
      </w:r>
      <w:r w:rsidRPr="00D84372">
        <w:rPr>
          <w:rFonts w:ascii="Times New Roman" w:hAnsi="Times New Roman" w:cs="Times New Roman"/>
          <w:sz w:val="28"/>
          <w:szCs w:val="28"/>
        </w:rPr>
        <w:t xml:space="preserve"> %, что свидетельствует об активном использовании гражданами информационных возможностей.</w:t>
      </w:r>
    </w:p>
    <w:p w:rsidR="00997E3E" w:rsidRDefault="00997E3E" w:rsidP="00997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7E3E" w:rsidRDefault="00997E3E" w:rsidP="00997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82AB054" wp14:editId="48BB7C4D">
            <wp:extent cx="5486400" cy="3200400"/>
            <wp:effectExtent l="3810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97E3E" w:rsidRDefault="00997E3E" w:rsidP="00997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37B0" w:rsidRDefault="006B37B0" w:rsidP="00861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53D" w:rsidRDefault="009C353D" w:rsidP="004E66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количество коллективных обращений</w:t>
      </w:r>
      <w:r w:rsidR="004E6672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2023 годом увеличилось, в 2023 году - 22 коллективных обращения, в 2024 – 34.</w:t>
      </w:r>
    </w:p>
    <w:p w:rsidR="004E6672" w:rsidRDefault="004E6672" w:rsidP="004E66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8647" w:type="dxa"/>
        <w:tblInd w:w="675" w:type="dxa"/>
        <w:tblLook w:val="04A0" w:firstRow="1" w:lastRow="0" w:firstColumn="1" w:lastColumn="0" w:noHBand="0" w:noVBand="1"/>
      </w:tblPr>
      <w:tblGrid>
        <w:gridCol w:w="1701"/>
        <w:gridCol w:w="6946"/>
      </w:tblGrid>
      <w:tr w:rsidR="004E6672" w:rsidTr="00EB7C6C">
        <w:tc>
          <w:tcPr>
            <w:tcW w:w="1701" w:type="dxa"/>
          </w:tcPr>
          <w:p w:rsidR="004E6672" w:rsidRDefault="004E6672" w:rsidP="004E6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E6672" w:rsidRDefault="004E6672" w:rsidP="004E6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поступивших коллективных обращений </w:t>
            </w:r>
          </w:p>
        </w:tc>
      </w:tr>
      <w:tr w:rsidR="004E6672" w:rsidTr="00EB7C6C">
        <w:tc>
          <w:tcPr>
            <w:tcW w:w="1701" w:type="dxa"/>
          </w:tcPr>
          <w:p w:rsidR="004E6672" w:rsidRDefault="004E6672" w:rsidP="004E6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6946" w:type="dxa"/>
          </w:tcPr>
          <w:p w:rsidR="004E6672" w:rsidRDefault="004E6672" w:rsidP="004E6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E6672" w:rsidTr="00EB7C6C">
        <w:tc>
          <w:tcPr>
            <w:tcW w:w="1701" w:type="dxa"/>
          </w:tcPr>
          <w:p w:rsidR="004E6672" w:rsidRDefault="004E6672" w:rsidP="004E6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6946" w:type="dxa"/>
          </w:tcPr>
          <w:p w:rsidR="004E6672" w:rsidRDefault="004E6672" w:rsidP="004E6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9C353D" w:rsidRPr="00D84372" w:rsidRDefault="009C353D" w:rsidP="004E6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7E6" w:rsidRPr="00D84372" w:rsidRDefault="005547E6" w:rsidP="00554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72">
        <w:rPr>
          <w:rFonts w:ascii="Times New Roman" w:hAnsi="Times New Roman" w:cs="Times New Roman"/>
          <w:sz w:val="28"/>
          <w:szCs w:val="28"/>
        </w:rPr>
        <w:t>Обращения поступают как из городов и районов Республики Хакасия, так и из других регионов Российской Федерации.</w:t>
      </w:r>
    </w:p>
    <w:p w:rsidR="005547E6" w:rsidRPr="00625F07" w:rsidRDefault="005547E6" w:rsidP="005547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C4">
        <w:rPr>
          <w:rFonts w:ascii="Times New Roman" w:hAnsi="Times New Roman" w:cs="Times New Roman"/>
          <w:sz w:val="28"/>
          <w:szCs w:val="28"/>
        </w:rPr>
        <w:t xml:space="preserve">В 2024 году большинство составили обращения, поступившие из городов и районов Республики Хакасия – </w:t>
      </w:r>
      <w:r w:rsidR="00B730C4" w:rsidRPr="00B730C4">
        <w:rPr>
          <w:rFonts w:ascii="Times New Roman" w:hAnsi="Times New Roman" w:cs="Times New Roman"/>
          <w:b/>
          <w:sz w:val="28"/>
          <w:szCs w:val="28"/>
        </w:rPr>
        <w:t xml:space="preserve">201 </w:t>
      </w:r>
      <w:r w:rsidRPr="00B730C4">
        <w:rPr>
          <w:rFonts w:ascii="Times New Roman" w:hAnsi="Times New Roman" w:cs="Times New Roman"/>
          <w:sz w:val="28"/>
          <w:szCs w:val="28"/>
        </w:rPr>
        <w:t>обращение</w:t>
      </w:r>
      <w:r w:rsidRPr="00625F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25F07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поступило из городов Республики Хакасия: г. Абакана – </w:t>
      </w:r>
      <w:r w:rsidR="00B730C4" w:rsidRPr="00625F07">
        <w:rPr>
          <w:rFonts w:ascii="Times New Roman" w:hAnsi="Times New Roman" w:cs="Times New Roman"/>
          <w:b/>
          <w:sz w:val="28"/>
          <w:szCs w:val="28"/>
        </w:rPr>
        <w:t>110</w:t>
      </w:r>
      <w:r w:rsidRPr="00625F07">
        <w:rPr>
          <w:rFonts w:ascii="Times New Roman" w:hAnsi="Times New Roman" w:cs="Times New Roman"/>
          <w:sz w:val="28"/>
          <w:szCs w:val="28"/>
        </w:rPr>
        <w:t xml:space="preserve"> обращений, г. Черногорска – </w:t>
      </w:r>
      <w:r w:rsidRPr="00625F07">
        <w:rPr>
          <w:rFonts w:ascii="Times New Roman" w:hAnsi="Times New Roman" w:cs="Times New Roman"/>
          <w:b/>
          <w:sz w:val="28"/>
          <w:szCs w:val="28"/>
        </w:rPr>
        <w:t>2</w:t>
      </w:r>
      <w:r w:rsidR="00B730C4" w:rsidRPr="00625F07">
        <w:rPr>
          <w:rFonts w:ascii="Times New Roman" w:hAnsi="Times New Roman" w:cs="Times New Roman"/>
          <w:b/>
          <w:sz w:val="28"/>
          <w:szCs w:val="28"/>
        </w:rPr>
        <w:t>4</w:t>
      </w:r>
      <w:r w:rsidRPr="00625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F07">
        <w:rPr>
          <w:rFonts w:ascii="Times New Roman" w:hAnsi="Times New Roman" w:cs="Times New Roman"/>
          <w:sz w:val="28"/>
          <w:szCs w:val="28"/>
        </w:rPr>
        <w:t xml:space="preserve">обращения, г. Саяногорска – </w:t>
      </w:r>
      <w:r w:rsidRPr="00625F07">
        <w:rPr>
          <w:rFonts w:ascii="Times New Roman" w:hAnsi="Times New Roman" w:cs="Times New Roman"/>
          <w:b/>
          <w:sz w:val="28"/>
          <w:szCs w:val="28"/>
        </w:rPr>
        <w:t>1</w:t>
      </w:r>
      <w:r w:rsidR="00625F07" w:rsidRPr="00625F07">
        <w:rPr>
          <w:rFonts w:ascii="Times New Roman" w:hAnsi="Times New Roman" w:cs="Times New Roman"/>
          <w:b/>
          <w:sz w:val="28"/>
          <w:szCs w:val="28"/>
        </w:rPr>
        <w:t>6</w:t>
      </w:r>
      <w:r w:rsidRPr="00625F0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547E6" w:rsidRPr="00625F07" w:rsidRDefault="005547E6" w:rsidP="00554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F07">
        <w:rPr>
          <w:rFonts w:ascii="Times New Roman" w:hAnsi="Times New Roman" w:cs="Times New Roman"/>
          <w:sz w:val="28"/>
          <w:szCs w:val="28"/>
        </w:rPr>
        <w:t xml:space="preserve">Из районов Республики Хакасия, наибольшее количество обращений поступило из Усть-Абаканского района – </w:t>
      </w:r>
      <w:r w:rsidRPr="00625F07">
        <w:rPr>
          <w:rFonts w:ascii="Times New Roman" w:hAnsi="Times New Roman" w:cs="Times New Roman"/>
          <w:b/>
          <w:sz w:val="28"/>
          <w:szCs w:val="28"/>
        </w:rPr>
        <w:t>1</w:t>
      </w:r>
      <w:r w:rsidR="00625F07" w:rsidRPr="00625F07">
        <w:rPr>
          <w:rFonts w:ascii="Times New Roman" w:hAnsi="Times New Roman" w:cs="Times New Roman"/>
          <w:b/>
          <w:sz w:val="28"/>
          <w:szCs w:val="28"/>
        </w:rPr>
        <w:t>2</w:t>
      </w:r>
      <w:r w:rsidRPr="00625F07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625F07" w:rsidRPr="00625F07">
        <w:rPr>
          <w:rFonts w:ascii="Times New Roman" w:hAnsi="Times New Roman" w:cs="Times New Roman"/>
          <w:sz w:val="28"/>
          <w:szCs w:val="28"/>
        </w:rPr>
        <w:t>5,4</w:t>
      </w:r>
      <w:r w:rsidRPr="00625F07">
        <w:rPr>
          <w:rFonts w:ascii="Times New Roman" w:hAnsi="Times New Roman" w:cs="Times New Roman"/>
          <w:sz w:val="28"/>
          <w:szCs w:val="28"/>
        </w:rPr>
        <w:t xml:space="preserve"> % от общего числа поступивших обращений).</w:t>
      </w:r>
    </w:p>
    <w:p w:rsidR="005547E6" w:rsidRPr="00D84372" w:rsidRDefault="005547E6" w:rsidP="00554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F07">
        <w:rPr>
          <w:rFonts w:ascii="Times New Roman" w:hAnsi="Times New Roman" w:cs="Times New Roman"/>
          <w:sz w:val="28"/>
          <w:szCs w:val="28"/>
        </w:rPr>
        <w:t xml:space="preserve">Также поступали обращения из других регионов Российской Федерации (г. Москва, </w:t>
      </w:r>
      <w:r w:rsidR="00625F07" w:rsidRPr="00625F07">
        <w:rPr>
          <w:rFonts w:ascii="Times New Roman" w:hAnsi="Times New Roman" w:cs="Times New Roman"/>
          <w:sz w:val="28"/>
          <w:szCs w:val="28"/>
        </w:rPr>
        <w:t xml:space="preserve">г. Краснодар, </w:t>
      </w:r>
      <w:r w:rsidRPr="00625F07">
        <w:rPr>
          <w:rFonts w:ascii="Times New Roman" w:hAnsi="Times New Roman" w:cs="Times New Roman"/>
          <w:sz w:val="28"/>
          <w:szCs w:val="28"/>
        </w:rPr>
        <w:t xml:space="preserve">Красноярский край, Пензенская область, Рязанская область и др.) – </w:t>
      </w:r>
      <w:r w:rsidRPr="00625F07">
        <w:rPr>
          <w:rFonts w:ascii="Times New Roman" w:hAnsi="Times New Roman" w:cs="Times New Roman"/>
          <w:b/>
          <w:sz w:val="28"/>
          <w:szCs w:val="28"/>
        </w:rPr>
        <w:t>2</w:t>
      </w:r>
      <w:r w:rsidR="00625F07" w:rsidRPr="00625F07">
        <w:rPr>
          <w:rFonts w:ascii="Times New Roman" w:hAnsi="Times New Roman" w:cs="Times New Roman"/>
          <w:b/>
          <w:sz w:val="28"/>
          <w:szCs w:val="28"/>
        </w:rPr>
        <w:t>1</w:t>
      </w:r>
      <w:r w:rsidRPr="00625F0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25F07" w:rsidRPr="00625F07">
        <w:rPr>
          <w:rFonts w:ascii="Times New Roman" w:hAnsi="Times New Roman" w:cs="Times New Roman"/>
          <w:sz w:val="28"/>
          <w:szCs w:val="28"/>
        </w:rPr>
        <w:t>е</w:t>
      </w:r>
      <w:r w:rsidRPr="00625F07">
        <w:rPr>
          <w:rFonts w:ascii="Times New Roman" w:hAnsi="Times New Roman" w:cs="Times New Roman"/>
          <w:sz w:val="28"/>
          <w:szCs w:val="28"/>
        </w:rPr>
        <w:t xml:space="preserve">, </w:t>
      </w:r>
      <w:r w:rsidRPr="00625F07">
        <w:rPr>
          <w:rFonts w:ascii="Times New Roman" w:hAnsi="Times New Roman" w:cs="Times New Roman"/>
          <w:b/>
          <w:sz w:val="28"/>
          <w:szCs w:val="28"/>
        </w:rPr>
        <w:t>1</w:t>
      </w:r>
      <w:r w:rsidRPr="00625F07">
        <w:rPr>
          <w:rFonts w:ascii="Times New Roman" w:hAnsi="Times New Roman" w:cs="Times New Roman"/>
          <w:sz w:val="28"/>
          <w:szCs w:val="28"/>
        </w:rPr>
        <w:t xml:space="preserve"> обращение поступило из-за рубежа (Германия).</w:t>
      </w:r>
    </w:p>
    <w:p w:rsidR="006B37B0" w:rsidRDefault="006B37B0" w:rsidP="00554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7E6" w:rsidRPr="00D84372" w:rsidRDefault="005547E6" w:rsidP="00554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372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5547E6" w:rsidRPr="00D84372" w:rsidRDefault="005547E6" w:rsidP="00554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372">
        <w:rPr>
          <w:rFonts w:ascii="Times New Roman" w:hAnsi="Times New Roman" w:cs="Times New Roman"/>
          <w:b/>
          <w:sz w:val="28"/>
          <w:szCs w:val="28"/>
        </w:rPr>
        <w:t>поступления обращений по муниципальным образованиям Республики Хакасия и другим субъектам Российской Федерации</w:t>
      </w:r>
    </w:p>
    <w:p w:rsidR="005547E6" w:rsidRPr="00D84372" w:rsidRDefault="005547E6" w:rsidP="00554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3"/>
        <w:gridCol w:w="4934"/>
        <w:gridCol w:w="2551"/>
        <w:gridCol w:w="1383"/>
      </w:tblGrid>
      <w:tr w:rsidR="004E6672" w:rsidRPr="00D84372" w:rsidTr="00EB7C6C">
        <w:tc>
          <w:tcPr>
            <w:tcW w:w="703" w:type="dxa"/>
          </w:tcPr>
          <w:p w:rsidR="004E6672" w:rsidRPr="00D84372" w:rsidRDefault="004E6672" w:rsidP="000D5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34" w:type="dxa"/>
          </w:tcPr>
          <w:p w:rsidR="004E6672" w:rsidRPr="00D84372" w:rsidRDefault="004E6672" w:rsidP="000D5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6672" w:rsidRPr="00D84372" w:rsidRDefault="004E6672" w:rsidP="000D5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4E6672" w:rsidRPr="00D84372" w:rsidRDefault="004E6672" w:rsidP="000D5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1383" w:type="dxa"/>
          </w:tcPr>
          <w:p w:rsidR="004E6672" w:rsidRPr="00D84372" w:rsidRDefault="00EB7C6C" w:rsidP="000D5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E6672" w:rsidRPr="00D84372" w:rsidTr="00EB7C6C">
        <w:tc>
          <w:tcPr>
            <w:tcW w:w="703" w:type="dxa"/>
          </w:tcPr>
          <w:p w:rsidR="004E6672" w:rsidRPr="00D843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4" w:type="dxa"/>
          </w:tcPr>
          <w:p w:rsidR="004E6672" w:rsidRPr="00D843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Абакан</w:t>
            </w:r>
          </w:p>
        </w:tc>
        <w:tc>
          <w:tcPr>
            <w:tcW w:w="2551" w:type="dxa"/>
          </w:tcPr>
          <w:p w:rsidR="004E6672" w:rsidRPr="00D84372" w:rsidRDefault="004E6672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1383" w:type="dxa"/>
          </w:tcPr>
          <w:p w:rsidR="004E6672" w:rsidRDefault="00EB7C6C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49,3</w:t>
            </w:r>
          </w:p>
        </w:tc>
      </w:tr>
      <w:tr w:rsidR="004E6672" w:rsidRPr="00D84372" w:rsidTr="00EB7C6C">
        <w:tc>
          <w:tcPr>
            <w:tcW w:w="703" w:type="dxa"/>
          </w:tcPr>
          <w:p w:rsidR="004E6672" w:rsidRPr="00D843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34" w:type="dxa"/>
          </w:tcPr>
          <w:p w:rsidR="004E6672" w:rsidRPr="00D843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Абаза</w:t>
            </w:r>
          </w:p>
        </w:tc>
        <w:tc>
          <w:tcPr>
            <w:tcW w:w="2551" w:type="dxa"/>
          </w:tcPr>
          <w:p w:rsidR="004E6672" w:rsidRPr="00D84372" w:rsidRDefault="004E6672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4E6672" w:rsidRDefault="00EB7C6C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</w:tc>
      </w:tr>
      <w:tr w:rsidR="004E6672" w:rsidRPr="00D84372" w:rsidTr="00EB7C6C">
        <w:tc>
          <w:tcPr>
            <w:tcW w:w="703" w:type="dxa"/>
          </w:tcPr>
          <w:p w:rsidR="004E6672" w:rsidRPr="00D843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34" w:type="dxa"/>
          </w:tcPr>
          <w:p w:rsidR="004E6672" w:rsidRPr="00D843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Саяногорск</w:t>
            </w:r>
          </w:p>
        </w:tc>
        <w:tc>
          <w:tcPr>
            <w:tcW w:w="2551" w:type="dxa"/>
          </w:tcPr>
          <w:p w:rsidR="004E6672" w:rsidRPr="00D84372" w:rsidRDefault="004E6672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383" w:type="dxa"/>
          </w:tcPr>
          <w:p w:rsidR="004E6672" w:rsidRDefault="00EB7C6C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</w:t>
            </w:r>
          </w:p>
        </w:tc>
      </w:tr>
      <w:tr w:rsidR="004E6672" w:rsidRPr="00D84372" w:rsidTr="00EB7C6C">
        <w:tc>
          <w:tcPr>
            <w:tcW w:w="703" w:type="dxa"/>
          </w:tcPr>
          <w:p w:rsidR="004E6672" w:rsidRPr="00D843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34" w:type="dxa"/>
          </w:tcPr>
          <w:p w:rsidR="004E6672" w:rsidRPr="00D843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Сорск</w:t>
            </w:r>
          </w:p>
        </w:tc>
        <w:tc>
          <w:tcPr>
            <w:tcW w:w="2551" w:type="dxa"/>
          </w:tcPr>
          <w:p w:rsidR="004E6672" w:rsidRPr="00D84372" w:rsidRDefault="004E6672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4E6672" w:rsidRPr="00D84372" w:rsidRDefault="00EB7C6C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</w:tr>
      <w:tr w:rsidR="004E6672" w:rsidRPr="00D84372" w:rsidTr="00EB7C6C">
        <w:tc>
          <w:tcPr>
            <w:tcW w:w="703" w:type="dxa"/>
          </w:tcPr>
          <w:p w:rsidR="004E6672" w:rsidRPr="00D843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34" w:type="dxa"/>
          </w:tcPr>
          <w:p w:rsidR="004E6672" w:rsidRPr="00D843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Черногорск</w:t>
            </w:r>
          </w:p>
        </w:tc>
        <w:tc>
          <w:tcPr>
            <w:tcW w:w="2551" w:type="dxa"/>
          </w:tcPr>
          <w:p w:rsidR="004E6672" w:rsidRPr="00D84372" w:rsidRDefault="004E6672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383" w:type="dxa"/>
          </w:tcPr>
          <w:p w:rsidR="004E6672" w:rsidRDefault="00EB7C6C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10,8</w:t>
            </w:r>
          </w:p>
        </w:tc>
      </w:tr>
      <w:tr w:rsidR="004E6672" w:rsidRPr="00D84372" w:rsidTr="00EB7C6C">
        <w:tc>
          <w:tcPr>
            <w:tcW w:w="703" w:type="dxa"/>
          </w:tcPr>
          <w:p w:rsidR="004E6672" w:rsidRPr="00D843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34" w:type="dxa"/>
          </w:tcPr>
          <w:p w:rsidR="004E6672" w:rsidRPr="00D843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Аскизский</w:t>
            </w:r>
            <w:proofErr w:type="spellEnd"/>
            <w:r w:rsidRPr="00D8437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551" w:type="dxa"/>
          </w:tcPr>
          <w:p w:rsidR="004E6672" w:rsidRPr="00D84372" w:rsidRDefault="004E6672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4E6672" w:rsidRDefault="00C27970" w:rsidP="00EB7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2,8</w:t>
            </w:r>
          </w:p>
        </w:tc>
      </w:tr>
      <w:tr w:rsidR="004E6672" w:rsidRPr="00D84372" w:rsidTr="00EB7C6C">
        <w:tc>
          <w:tcPr>
            <w:tcW w:w="703" w:type="dxa"/>
          </w:tcPr>
          <w:p w:rsidR="004E6672" w:rsidRPr="00D843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34" w:type="dxa"/>
          </w:tcPr>
          <w:p w:rsidR="004E6672" w:rsidRPr="00D843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Алтайский район</w:t>
            </w:r>
          </w:p>
        </w:tc>
        <w:tc>
          <w:tcPr>
            <w:tcW w:w="2551" w:type="dxa"/>
          </w:tcPr>
          <w:p w:rsidR="004E6672" w:rsidRPr="00D84372" w:rsidRDefault="004E6672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4E6672" w:rsidRPr="00D84372" w:rsidRDefault="00EB7C6C" w:rsidP="00C27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</w:tr>
      <w:tr w:rsidR="004E6672" w:rsidRPr="00D84372" w:rsidTr="00EB7C6C">
        <w:tc>
          <w:tcPr>
            <w:tcW w:w="703" w:type="dxa"/>
          </w:tcPr>
          <w:p w:rsidR="004E6672" w:rsidRPr="00D843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34" w:type="dxa"/>
          </w:tcPr>
          <w:p w:rsidR="004E6672" w:rsidRPr="00D843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Бейский</w:t>
            </w:r>
            <w:proofErr w:type="spellEnd"/>
            <w:r w:rsidRPr="00D8437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551" w:type="dxa"/>
          </w:tcPr>
          <w:p w:rsidR="004E6672" w:rsidRPr="00D84372" w:rsidRDefault="004E6672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83" w:type="dxa"/>
          </w:tcPr>
          <w:p w:rsidR="004E6672" w:rsidRPr="00D84372" w:rsidRDefault="00EB7C6C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</w:tr>
      <w:tr w:rsidR="004E6672" w:rsidRPr="00D84372" w:rsidTr="00EB7C6C">
        <w:tc>
          <w:tcPr>
            <w:tcW w:w="703" w:type="dxa"/>
          </w:tcPr>
          <w:p w:rsidR="004E6672" w:rsidRPr="00D843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34" w:type="dxa"/>
          </w:tcPr>
          <w:p w:rsidR="004E6672" w:rsidRPr="00D843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Боградский</w:t>
            </w:r>
            <w:proofErr w:type="spellEnd"/>
            <w:r w:rsidRPr="00D8437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551" w:type="dxa"/>
          </w:tcPr>
          <w:p w:rsidR="004E6672" w:rsidRPr="00D84372" w:rsidRDefault="004E6672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4E6672" w:rsidRPr="00D84372" w:rsidRDefault="00EB7C6C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</w:tr>
      <w:tr w:rsidR="004E6672" w:rsidRPr="00D84372" w:rsidTr="00EB7C6C">
        <w:tc>
          <w:tcPr>
            <w:tcW w:w="703" w:type="dxa"/>
          </w:tcPr>
          <w:p w:rsidR="004E6672" w:rsidRPr="00D843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34" w:type="dxa"/>
          </w:tcPr>
          <w:p w:rsidR="004E6672" w:rsidRPr="00D843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</w:t>
            </w:r>
          </w:p>
        </w:tc>
        <w:tc>
          <w:tcPr>
            <w:tcW w:w="2551" w:type="dxa"/>
          </w:tcPr>
          <w:p w:rsidR="004E6672" w:rsidRPr="00D84372" w:rsidRDefault="004E6672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4E6672" w:rsidRDefault="00EB7C6C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</w:tr>
      <w:tr w:rsidR="004E6672" w:rsidRPr="00D84372" w:rsidTr="00EB7C6C">
        <w:tc>
          <w:tcPr>
            <w:tcW w:w="703" w:type="dxa"/>
          </w:tcPr>
          <w:p w:rsidR="004E6672" w:rsidRPr="00D843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34" w:type="dxa"/>
          </w:tcPr>
          <w:p w:rsidR="004E6672" w:rsidRPr="00D843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Таштыпский</w:t>
            </w:r>
            <w:proofErr w:type="spellEnd"/>
            <w:r w:rsidRPr="00D8437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551" w:type="dxa"/>
          </w:tcPr>
          <w:p w:rsidR="004E6672" w:rsidRPr="00D84372" w:rsidRDefault="004E6672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:rsidR="004E6672" w:rsidRPr="00D84372" w:rsidRDefault="00EB7C6C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E6672" w:rsidRPr="00D84372" w:rsidTr="00EB7C6C">
        <w:tc>
          <w:tcPr>
            <w:tcW w:w="703" w:type="dxa"/>
          </w:tcPr>
          <w:p w:rsidR="004E6672" w:rsidRPr="00D843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34" w:type="dxa"/>
          </w:tcPr>
          <w:p w:rsidR="004E6672" w:rsidRPr="00D843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Усть-Абаканский район</w:t>
            </w:r>
          </w:p>
        </w:tc>
        <w:tc>
          <w:tcPr>
            <w:tcW w:w="2551" w:type="dxa"/>
          </w:tcPr>
          <w:p w:rsidR="004E6672" w:rsidRPr="00D84372" w:rsidRDefault="004E6672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83" w:type="dxa"/>
          </w:tcPr>
          <w:p w:rsidR="004E6672" w:rsidRDefault="00C27970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</w:tr>
      <w:tr w:rsidR="004E6672" w:rsidRPr="00D84372" w:rsidTr="00EB7C6C">
        <w:tc>
          <w:tcPr>
            <w:tcW w:w="703" w:type="dxa"/>
          </w:tcPr>
          <w:p w:rsidR="004E6672" w:rsidRPr="00D843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34" w:type="dxa"/>
          </w:tcPr>
          <w:p w:rsidR="004E6672" w:rsidRPr="00D84372" w:rsidRDefault="004E6672" w:rsidP="00625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Ширинский</w:t>
            </w:r>
            <w:proofErr w:type="spellEnd"/>
            <w:r w:rsidRPr="00D8437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551" w:type="dxa"/>
          </w:tcPr>
          <w:p w:rsidR="004E6672" w:rsidRPr="00D84372" w:rsidRDefault="004E6672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4E6672" w:rsidRPr="00D84372" w:rsidRDefault="00EB7C6C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</w:tr>
      <w:tr w:rsidR="004E6672" w:rsidRPr="00D84372" w:rsidTr="00EB7C6C">
        <w:tc>
          <w:tcPr>
            <w:tcW w:w="703" w:type="dxa"/>
          </w:tcPr>
          <w:p w:rsidR="004E6672" w:rsidRPr="00D843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34" w:type="dxa"/>
          </w:tcPr>
          <w:p w:rsidR="004E66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  <w:p w:rsidR="004E6672" w:rsidRPr="00D843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6672" w:rsidRPr="00D84372" w:rsidRDefault="004E6672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4E6672" w:rsidRPr="00D84372" w:rsidRDefault="00EB7C6C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</w:tc>
      </w:tr>
      <w:tr w:rsidR="004E6672" w:rsidRPr="00D84372" w:rsidTr="00EB7C6C">
        <w:tc>
          <w:tcPr>
            <w:tcW w:w="703" w:type="dxa"/>
          </w:tcPr>
          <w:p w:rsidR="004E6672" w:rsidRPr="00D843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34" w:type="dxa"/>
          </w:tcPr>
          <w:p w:rsidR="004E6672" w:rsidRPr="00D843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Другие субъекты Российской Федерации</w:t>
            </w:r>
          </w:p>
        </w:tc>
        <w:tc>
          <w:tcPr>
            <w:tcW w:w="2551" w:type="dxa"/>
          </w:tcPr>
          <w:p w:rsidR="004E6672" w:rsidRPr="00D84372" w:rsidRDefault="004E6672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383" w:type="dxa"/>
          </w:tcPr>
          <w:p w:rsidR="004E6672" w:rsidRDefault="00EB7C6C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7,6</w:t>
            </w:r>
          </w:p>
        </w:tc>
      </w:tr>
      <w:tr w:rsidR="004E6672" w:rsidRPr="00D84372" w:rsidTr="00EB7C6C">
        <w:tc>
          <w:tcPr>
            <w:tcW w:w="703" w:type="dxa"/>
          </w:tcPr>
          <w:p w:rsidR="004E6672" w:rsidRPr="00D843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34" w:type="dxa"/>
          </w:tcPr>
          <w:p w:rsidR="004E6672" w:rsidRPr="00D843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</w:tc>
        <w:tc>
          <w:tcPr>
            <w:tcW w:w="2551" w:type="dxa"/>
          </w:tcPr>
          <w:p w:rsidR="004E6672" w:rsidRPr="00D84372" w:rsidRDefault="004E6672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4E6672" w:rsidRPr="00D84372" w:rsidRDefault="004E6672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4E6672" w:rsidRPr="00D84372" w:rsidRDefault="00EB7C6C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</w:tr>
      <w:tr w:rsidR="004E6672" w:rsidRPr="00D84372" w:rsidTr="00EB7C6C">
        <w:tc>
          <w:tcPr>
            <w:tcW w:w="703" w:type="dxa"/>
          </w:tcPr>
          <w:p w:rsidR="004E6672" w:rsidRPr="00D843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4" w:type="dxa"/>
          </w:tcPr>
          <w:p w:rsidR="004E6672" w:rsidRPr="00D84372" w:rsidRDefault="004E6672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551" w:type="dxa"/>
          </w:tcPr>
          <w:p w:rsidR="004E6672" w:rsidRDefault="004E6672" w:rsidP="00625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223</w:t>
            </w:r>
          </w:p>
          <w:p w:rsidR="004E6672" w:rsidRPr="00D84372" w:rsidRDefault="004E6672" w:rsidP="00625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4E6672" w:rsidRDefault="004E6672" w:rsidP="00625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547E6" w:rsidRDefault="005547E6" w:rsidP="00554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7E6" w:rsidRDefault="005547E6" w:rsidP="00554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72">
        <w:rPr>
          <w:rFonts w:ascii="Times New Roman" w:hAnsi="Times New Roman" w:cs="Times New Roman"/>
          <w:sz w:val="28"/>
          <w:szCs w:val="28"/>
        </w:rPr>
        <w:t xml:space="preserve">Большинство авторов не указывают свой социальный статус, но чаще обращаются - пенсионеры, инвалиды, ветераны труда, многодетные семьи, участники специальной военной операции (далее – </w:t>
      </w:r>
      <w:proofErr w:type="spellStart"/>
      <w:r w:rsidRPr="00D84372">
        <w:rPr>
          <w:rFonts w:ascii="Times New Roman" w:hAnsi="Times New Roman" w:cs="Times New Roman"/>
          <w:sz w:val="28"/>
          <w:szCs w:val="28"/>
        </w:rPr>
        <w:t>СВО</w:t>
      </w:r>
      <w:proofErr w:type="spellEnd"/>
      <w:r w:rsidRPr="00D84372">
        <w:rPr>
          <w:rFonts w:ascii="Times New Roman" w:hAnsi="Times New Roman" w:cs="Times New Roman"/>
          <w:sz w:val="28"/>
          <w:szCs w:val="28"/>
        </w:rPr>
        <w:t xml:space="preserve">), также члены семей участников </w:t>
      </w:r>
      <w:proofErr w:type="spellStart"/>
      <w:r w:rsidRPr="00D84372">
        <w:rPr>
          <w:rFonts w:ascii="Times New Roman" w:hAnsi="Times New Roman" w:cs="Times New Roman"/>
          <w:sz w:val="28"/>
          <w:szCs w:val="28"/>
        </w:rPr>
        <w:t>СВО</w:t>
      </w:r>
      <w:proofErr w:type="spellEnd"/>
      <w:r w:rsidRPr="00D84372">
        <w:rPr>
          <w:rFonts w:ascii="Times New Roman" w:hAnsi="Times New Roman" w:cs="Times New Roman"/>
          <w:sz w:val="28"/>
          <w:szCs w:val="28"/>
        </w:rPr>
        <w:t>, сироты, осужденные или заключенные под стражу.</w:t>
      </w:r>
    </w:p>
    <w:p w:rsidR="005547E6" w:rsidRPr="00D84372" w:rsidRDefault="005547E6" w:rsidP="00554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372">
        <w:rPr>
          <w:rFonts w:ascii="Times New Roman" w:hAnsi="Times New Roman" w:cs="Times New Roman"/>
          <w:sz w:val="28"/>
          <w:szCs w:val="28"/>
        </w:rPr>
        <w:t xml:space="preserve">В тематическом разрезе за 2023 и 2024 годы актуальными </w:t>
      </w:r>
      <w:r w:rsidR="001111A9">
        <w:rPr>
          <w:rFonts w:ascii="Times New Roman" w:hAnsi="Times New Roman" w:cs="Times New Roman"/>
          <w:sz w:val="28"/>
          <w:szCs w:val="28"/>
        </w:rPr>
        <w:t>остаются</w:t>
      </w:r>
      <w:r w:rsidRPr="00D84372">
        <w:rPr>
          <w:rFonts w:ascii="Times New Roman" w:hAnsi="Times New Roman" w:cs="Times New Roman"/>
          <w:sz w:val="28"/>
          <w:szCs w:val="28"/>
        </w:rPr>
        <w:t xml:space="preserve"> вопросы, связанные с </w:t>
      </w:r>
      <w:r w:rsidR="00625F07">
        <w:rPr>
          <w:rFonts w:ascii="Times New Roman" w:hAnsi="Times New Roman" w:cs="Times New Roman"/>
          <w:sz w:val="28"/>
          <w:szCs w:val="28"/>
        </w:rPr>
        <w:t>Г</w:t>
      </w:r>
      <w:r w:rsidRPr="00D84372">
        <w:rPr>
          <w:rFonts w:ascii="Times New Roman" w:hAnsi="Times New Roman" w:cs="Times New Roman"/>
          <w:sz w:val="28"/>
          <w:szCs w:val="28"/>
        </w:rPr>
        <w:t xml:space="preserve">осударством, обществом и политикой, таких обращений было </w:t>
      </w:r>
      <w:r w:rsidR="00C106AD" w:rsidRPr="00C106AD">
        <w:rPr>
          <w:rFonts w:ascii="Times New Roman" w:hAnsi="Times New Roman" w:cs="Times New Roman"/>
          <w:b/>
          <w:sz w:val="28"/>
          <w:szCs w:val="28"/>
        </w:rPr>
        <w:t>54</w:t>
      </w:r>
      <w:r w:rsidRPr="00C106AD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C106AD" w:rsidRPr="00C106AD">
        <w:rPr>
          <w:rFonts w:ascii="Times New Roman" w:hAnsi="Times New Roman" w:cs="Times New Roman"/>
          <w:sz w:val="28"/>
          <w:szCs w:val="28"/>
        </w:rPr>
        <w:t>24,2</w:t>
      </w:r>
      <w:r w:rsidRPr="00C106AD">
        <w:rPr>
          <w:rFonts w:ascii="Times New Roman" w:hAnsi="Times New Roman" w:cs="Times New Roman"/>
          <w:sz w:val="28"/>
          <w:szCs w:val="28"/>
        </w:rPr>
        <w:t xml:space="preserve"> % (это</w:t>
      </w:r>
      <w:r w:rsidRPr="00D84372">
        <w:rPr>
          <w:rFonts w:ascii="Times New Roman" w:hAnsi="Times New Roman" w:cs="Times New Roman"/>
          <w:sz w:val="28"/>
          <w:szCs w:val="28"/>
        </w:rPr>
        <w:t xml:space="preserve"> вопросы совершенствования законодательства, предложения о внесении изменений в законы, обсуждение проектов федеральных законов, внесенных в Государственную Думу Федерального Собрания Российской Федерации на рассмотрение и т.п.).</w:t>
      </w:r>
      <w:proofErr w:type="gramEnd"/>
    </w:p>
    <w:p w:rsidR="005547E6" w:rsidRPr="00D84372" w:rsidRDefault="005547E6" w:rsidP="00554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47E6" w:rsidRDefault="005547E6" w:rsidP="005547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372">
        <w:rPr>
          <w:rFonts w:ascii="Times New Roman" w:hAnsi="Times New Roman" w:cs="Times New Roman"/>
          <w:b/>
          <w:sz w:val="28"/>
          <w:szCs w:val="28"/>
        </w:rPr>
        <w:t>Тематика обращений, поступивших в Верховный Совет Республики Хакасия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0"/>
        <w:gridCol w:w="5576"/>
        <w:gridCol w:w="1968"/>
      </w:tblGrid>
      <w:tr w:rsidR="005547E6" w:rsidRPr="00D84372" w:rsidTr="000D53D7">
        <w:tc>
          <w:tcPr>
            <w:tcW w:w="630" w:type="dxa"/>
          </w:tcPr>
          <w:p w:rsidR="005547E6" w:rsidRPr="00D84372" w:rsidRDefault="005547E6" w:rsidP="000D5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76" w:type="dxa"/>
          </w:tcPr>
          <w:p w:rsidR="005547E6" w:rsidRPr="00D84372" w:rsidRDefault="005547E6" w:rsidP="000D5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Тематика обращений</w:t>
            </w:r>
          </w:p>
        </w:tc>
        <w:tc>
          <w:tcPr>
            <w:tcW w:w="1968" w:type="dxa"/>
          </w:tcPr>
          <w:p w:rsidR="005547E6" w:rsidRPr="00D84372" w:rsidRDefault="005547E6" w:rsidP="000D5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5547E6" w:rsidRPr="00D84372" w:rsidTr="000D53D7">
        <w:tc>
          <w:tcPr>
            <w:tcW w:w="630" w:type="dxa"/>
          </w:tcPr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76" w:type="dxa"/>
          </w:tcPr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Государство, общество, политика</w:t>
            </w:r>
          </w:p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5547E6" w:rsidRPr="00D84372" w:rsidRDefault="00C106AD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5547E6" w:rsidRPr="00D84372" w:rsidTr="000D53D7">
        <w:tc>
          <w:tcPr>
            <w:tcW w:w="630" w:type="dxa"/>
          </w:tcPr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76" w:type="dxa"/>
          </w:tcPr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Общие вопросы государственного управления (защита прав потребителей, антимонопольное законодательство и т.п.)</w:t>
            </w:r>
          </w:p>
        </w:tc>
        <w:tc>
          <w:tcPr>
            <w:tcW w:w="1968" w:type="dxa"/>
          </w:tcPr>
          <w:p w:rsidR="005547E6" w:rsidRPr="00D84372" w:rsidRDefault="00C106AD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5547E6" w:rsidRPr="00D84372" w:rsidTr="000D53D7">
        <w:tc>
          <w:tcPr>
            <w:tcW w:w="630" w:type="dxa"/>
          </w:tcPr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576" w:type="dxa"/>
          </w:tcPr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Жилищные вопросы</w:t>
            </w:r>
          </w:p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5547E6" w:rsidRPr="00D84372" w:rsidRDefault="00C106AD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5547E6" w:rsidRPr="00D84372" w:rsidTr="000D53D7">
        <w:tc>
          <w:tcPr>
            <w:tcW w:w="630" w:type="dxa"/>
          </w:tcPr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76" w:type="dxa"/>
          </w:tcPr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Здравоохранение. Физическая культура и спорт. Туризм</w:t>
            </w:r>
          </w:p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5547E6" w:rsidRPr="00D84372" w:rsidRDefault="00C106AD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5547E6" w:rsidRPr="00D84372" w:rsidTr="000D53D7">
        <w:tc>
          <w:tcPr>
            <w:tcW w:w="630" w:type="dxa"/>
          </w:tcPr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576" w:type="dxa"/>
          </w:tcPr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Природные ресурсы и охрана окружающей среды</w:t>
            </w:r>
          </w:p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5547E6" w:rsidRPr="00D84372" w:rsidRDefault="00C106AD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547E6" w:rsidRPr="00D84372" w:rsidTr="000D53D7">
        <w:tc>
          <w:tcPr>
            <w:tcW w:w="630" w:type="dxa"/>
          </w:tcPr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76" w:type="dxa"/>
          </w:tcPr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обеспечение, социальное страхование</w:t>
            </w:r>
          </w:p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5547E6" w:rsidRPr="00D84372" w:rsidRDefault="005547E6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5547E6" w:rsidRPr="00D84372" w:rsidTr="000D53D7">
        <w:tc>
          <w:tcPr>
            <w:tcW w:w="630" w:type="dxa"/>
          </w:tcPr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76" w:type="dxa"/>
          </w:tcPr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5547E6" w:rsidRPr="00D84372" w:rsidRDefault="00C106AD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5547E6" w:rsidRPr="00D84372" w:rsidTr="000D53D7">
        <w:tc>
          <w:tcPr>
            <w:tcW w:w="630" w:type="dxa"/>
          </w:tcPr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76" w:type="dxa"/>
          </w:tcPr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Образование. Наука. Культура</w:t>
            </w:r>
          </w:p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5547E6" w:rsidRPr="00D84372" w:rsidRDefault="00C106AD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5547E6" w:rsidRPr="00D84372" w:rsidTr="000D53D7">
        <w:tc>
          <w:tcPr>
            <w:tcW w:w="630" w:type="dxa"/>
          </w:tcPr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76" w:type="dxa"/>
          </w:tcPr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="00C106AD">
              <w:rPr>
                <w:rFonts w:ascii="Times New Roman" w:hAnsi="Times New Roman" w:cs="Times New Roman"/>
                <w:sz w:val="28"/>
                <w:szCs w:val="28"/>
              </w:rPr>
              <w:t xml:space="preserve"> и дорожное хозяйство</w:t>
            </w:r>
          </w:p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5547E6" w:rsidRPr="00D84372" w:rsidRDefault="00C106AD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5547E6" w:rsidRPr="00D84372" w:rsidTr="000D53D7">
        <w:tc>
          <w:tcPr>
            <w:tcW w:w="630" w:type="dxa"/>
          </w:tcPr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76" w:type="dxa"/>
          </w:tcPr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Оборона. Вооруженные Силы</w:t>
            </w:r>
          </w:p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5547E6" w:rsidRPr="00D84372" w:rsidRDefault="00C106AD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5547E6" w:rsidRPr="00D84372" w:rsidTr="000D53D7">
        <w:tc>
          <w:tcPr>
            <w:tcW w:w="630" w:type="dxa"/>
          </w:tcPr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76" w:type="dxa"/>
          </w:tcPr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5547E6" w:rsidRPr="00D84372" w:rsidRDefault="005547E6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547E6" w:rsidRPr="00D84372" w:rsidTr="000D53D7">
        <w:tc>
          <w:tcPr>
            <w:tcW w:w="630" w:type="dxa"/>
          </w:tcPr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76" w:type="dxa"/>
          </w:tcPr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Труд и занятость населения</w:t>
            </w:r>
          </w:p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5547E6" w:rsidRPr="00D84372" w:rsidRDefault="005547E6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547E6" w:rsidRPr="00D84372" w:rsidTr="000D53D7">
        <w:tc>
          <w:tcPr>
            <w:tcW w:w="630" w:type="dxa"/>
          </w:tcPr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6" w:type="dxa"/>
          </w:tcPr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7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  <w:p w:rsidR="005547E6" w:rsidRPr="00D84372" w:rsidRDefault="005547E6" w:rsidP="000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5547E6" w:rsidRPr="00D84372" w:rsidRDefault="00C106AD" w:rsidP="000D5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223</w:t>
            </w:r>
          </w:p>
        </w:tc>
      </w:tr>
    </w:tbl>
    <w:p w:rsidR="005547E6" w:rsidRPr="00D84372" w:rsidRDefault="005547E6" w:rsidP="00554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7E6" w:rsidRDefault="005547E6" w:rsidP="00554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72">
        <w:rPr>
          <w:rFonts w:ascii="Times New Roman" w:hAnsi="Times New Roman" w:cs="Times New Roman"/>
          <w:sz w:val="28"/>
          <w:szCs w:val="28"/>
        </w:rPr>
        <w:t>В обращениях, поступивших в Верховный Совет, затрагивались проблемы жилищно-коммунального комплекса</w:t>
      </w:r>
      <w:r w:rsidR="001111A9">
        <w:rPr>
          <w:rFonts w:ascii="Times New Roman" w:hAnsi="Times New Roman" w:cs="Times New Roman"/>
          <w:sz w:val="28"/>
          <w:szCs w:val="28"/>
        </w:rPr>
        <w:t xml:space="preserve"> (</w:t>
      </w:r>
      <w:r w:rsidR="001111A9" w:rsidRPr="001111A9">
        <w:rPr>
          <w:rFonts w:ascii="Times New Roman" w:hAnsi="Times New Roman" w:cs="Times New Roman"/>
          <w:b/>
          <w:sz w:val="28"/>
          <w:szCs w:val="28"/>
        </w:rPr>
        <w:t>15,7%</w:t>
      </w:r>
      <w:r w:rsidR="001111A9">
        <w:rPr>
          <w:rFonts w:ascii="Times New Roman" w:hAnsi="Times New Roman" w:cs="Times New Roman"/>
          <w:sz w:val="28"/>
          <w:szCs w:val="28"/>
        </w:rPr>
        <w:t xml:space="preserve"> от общего количества поступивших обращений)</w:t>
      </w:r>
      <w:r w:rsidRPr="00D84372">
        <w:rPr>
          <w:rFonts w:ascii="Times New Roman" w:hAnsi="Times New Roman" w:cs="Times New Roman"/>
          <w:sz w:val="28"/>
          <w:szCs w:val="28"/>
        </w:rPr>
        <w:t>, которые включали вопросы благоустройства городов и поселков; жилья и коммунального обслуживания населения; электр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, водо-, газо- и теплоснабжение, оплата жилищно-коммунальных услуг; тарифы и льготы по оплате жилищно-коммунальных услуг; </w:t>
      </w:r>
      <w:r w:rsidR="001111A9">
        <w:rPr>
          <w:rFonts w:ascii="Times New Roman" w:hAnsi="Times New Roman" w:cs="Times New Roman"/>
          <w:sz w:val="28"/>
          <w:szCs w:val="28"/>
        </w:rPr>
        <w:t xml:space="preserve">введение дифференцированного тарифа на  электроэнергию </w:t>
      </w:r>
      <w:r w:rsidRPr="00D84372">
        <w:rPr>
          <w:rFonts w:ascii="Times New Roman" w:hAnsi="Times New Roman" w:cs="Times New Roman"/>
          <w:sz w:val="28"/>
          <w:szCs w:val="28"/>
        </w:rPr>
        <w:t>и т.п.</w:t>
      </w:r>
    </w:p>
    <w:p w:rsidR="00487116" w:rsidRPr="00F46C9E" w:rsidRDefault="00487116" w:rsidP="00554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поступили многочисленные обращения жителей г. Абакана по вопросу обеспечения жилищных прав граждан при осуществлении комплексного развития города Абакана</w:t>
      </w:r>
      <w:r w:rsidR="00F46C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C9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результатам рассмотрения данных обращений разработан проект закона Республики Хакасия </w:t>
      </w:r>
      <w:r w:rsidR="00F46C9E" w:rsidRPr="00F46C9E">
        <w:rPr>
          <w:rFonts w:ascii="Times New Roman" w:hAnsi="Times New Roman" w:cs="Times New Roman"/>
          <w:sz w:val="28"/>
          <w:szCs w:val="28"/>
        </w:rPr>
        <w:t>«</w:t>
      </w:r>
      <w:r w:rsidR="00F46C9E">
        <w:rPr>
          <w:rFonts w:ascii="Times New Roman" w:hAnsi="Times New Roman" w:cs="Times New Roman"/>
          <w:sz w:val="28"/>
          <w:szCs w:val="28"/>
        </w:rPr>
        <w:t>О</w:t>
      </w:r>
      <w:r w:rsidR="00F46C9E" w:rsidRPr="00F46C9E">
        <w:rPr>
          <w:rFonts w:ascii="Times New Roman" w:hAnsi="Times New Roman" w:cs="Times New Roman"/>
          <w:sz w:val="28"/>
          <w:szCs w:val="28"/>
        </w:rPr>
        <w:t xml:space="preserve"> внесении изменения в статью 2 </w:t>
      </w:r>
      <w:r w:rsidR="00F46C9E">
        <w:rPr>
          <w:rFonts w:ascii="Times New Roman" w:hAnsi="Times New Roman" w:cs="Times New Roman"/>
          <w:sz w:val="28"/>
          <w:szCs w:val="28"/>
        </w:rPr>
        <w:t>Закона Республики Х</w:t>
      </w:r>
      <w:r w:rsidR="00F46C9E" w:rsidRPr="00F46C9E">
        <w:rPr>
          <w:rFonts w:ascii="Times New Roman" w:hAnsi="Times New Roman" w:cs="Times New Roman"/>
          <w:sz w:val="28"/>
          <w:szCs w:val="28"/>
        </w:rPr>
        <w:t xml:space="preserve">акасия </w:t>
      </w:r>
      <w:r w:rsidR="00F46C9E">
        <w:rPr>
          <w:rFonts w:ascii="Times New Roman" w:hAnsi="Times New Roman" w:cs="Times New Roman"/>
          <w:sz w:val="28"/>
          <w:szCs w:val="28"/>
        </w:rPr>
        <w:t>«О</w:t>
      </w:r>
      <w:r w:rsidR="00F46C9E" w:rsidRPr="00F46C9E">
        <w:rPr>
          <w:rFonts w:ascii="Times New Roman" w:hAnsi="Times New Roman" w:cs="Times New Roman"/>
          <w:sz w:val="28"/>
          <w:szCs w:val="28"/>
        </w:rPr>
        <w:t xml:space="preserve"> разграничении полномочий органов государственной власти </w:t>
      </w:r>
      <w:r w:rsidR="00F46C9E">
        <w:rPr>
          <w:rFonts w:ascii="Times New Roman" w:hAnsi="Times New Roman" w:cs="Times New Roman"/>
          <w:sz w:val="28"/>
          <w:szCs w:val="28"/>
        </w:rPr>
        <w:t>Р</w:t>
      </w:r>
      <w:r w:rsidR="00F46C9E" w:rsidRPr="00F46C9E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F46C9E">
        <w:rPr>
          <w:rFonts w:ascii="Times New Roman" w:hAnsi="Times New Roman" w:cs="Times New Roman"/>
          <w:sz w:val="28"/>
          <w:szCs w:val="28"/>
        </w:rPr>
        <w:t>Х</w:t>
      </w:r>
      <w:r w:rsidR="00F46C9E" w:rsidRPr="00F46C9E">
        <w:rPr>
          <w:rFonts w:ascii="Times New Roman" w:hAnsi="Times New Roman" w:cs="Times New Roman"/>
          <w:sz w:val="28"/>
          <w:szCs w:val="28"/>
        </w:rPr>
        <w:t>акасия в сфере обеспечения жилищных прав граждан при осуществлении комплексного развития территории жилой застройки»</w:t>
      </w:r>
      <w:r w:rsidR="00F46C9E">
        <w:rPr>
          <w:rFonts w:ascii="Times New Roman" w:hAnsi="Times New Roman" w:cs="Times New Roman"/>
          <w:sz w:val="28"/>
          <w:szCs w:val="28"/>
        </w:rPr>
        <w:t>, который принят Верховным Советом 19 апреля 2024 года.</w:t>
      </w:r>
    </w:p>
    <w:p w:rsidR="005547E6" w:rsidRPr="00D84372" w:rsidRDefault="005547E6" w:rsidP="00554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372">
        <w:rPr>
          <w:rFonts w:ascii="Times New Roman" w:hAnsi="Times New Roman" w:cs="Times New Roman"/>
          <w:sz w:val="28"/>
          <w:szCs w:val="28"/>
        </w:rPr>
        <w:t xml:space="preserve">Также поступали вопросы социального обеспечения, социального страхования, которые составляют </w:t>
      </w:r>
      <w:r w:rsidRPr="001111A9">
        <w:rPr>
          <w:rFonts w:ascii="Times New Roman" w:hAnsi="Times New Roman" w:cs="Times New Roman"/>
          <w:b/>
          <w:sz w:val="28"/>
          <w:szCs w:val="28"/>
        </w:rPr>
        <w:t>1</w:t>
      </w:r>
      <w:r w:rsidR="001111A9">
        <w:rPr>
          <w:rFonts w:ascii="Times New Roman" w:hAnsi="Times New Roman" w:cs="Times New Roman"/>
          <w:b/>
          <w:sz w:val="28"/>
          <w:szCs w:val="28"/>
        </w:rPr>
        <w:t>1</w:t>
      </w:r>
      <w:r w:rsidRPr="001111A9">
        <w:rPr>
          <w:rFonts w:ascii="Times New Roman" w:hAnsi="Times New Roman" w:cs="Times New Roman"/>
          <w:b/>
          <w:sz w:val="28"/>
          <w:szCs w:val="28"/>
        </w:rPr>
        <w:t>,</w:t>
      </w:r>
      <w:r w:rsidR="001111A9">
        <w:rPr>
          <w:rFonts w:ascii="Times New Roman" w:hAnsi="Times New Roman" w:cs="Times New Roman"/>
          <w:b/>
          <w:sz w:val="28"/>
          <w:szCs w:val="28"/>
        </w:rPr>
        <w:t>7</w:t>
      </w:r>
      <w:r w:rsidRPr="001111A9">
        <w:rPr>
          <w:rFonts w:ascii="Times New Roman" w:hAnsi="Times New Roman" w:cs="Times New Roman"/>
          <w:b/>
          <w:sz w:val="28"/>
          <w:szCs w:val="28"/>
        </w:rPr>
        <w:t>%</w:t>
      </w:r>
      <w:r w:rsidRPr="00D84372">
        <w:rPr>
          <w:rFonts w:ascii="Times New Roman" w:hAnsi="Times New Roman" w:cs="Times New Roman"/>
          <w:sz w:val="28"/>
          <w:szCs w:val="28"/>
        </w:rPr>
        <w:t xml:space="preserve"> от общего количества обращений, </w:t>
      </w:r>
      <w:r w:rsidRPr="00D84372">
        <w:rPr>
          <w:rFonts w:ascii="Times New Roman" w:hAnsi="Times New Roman" w:cs="Times New Roman"/>
          <w:sz w:val="28"/>
          <w:szCs w:val="28"/>
        </w:rPr>
        <w:lastRenderedPageBreak/>
        <w:t>поступивших в 2024 году, – это назначение и пересмотр размеров пенсий, установление инвалидности, временной нетрудоспособности; меры социальной поддержки участникам специальной военной операции и членам их семей; социальная защита родственников погибших военнослужащих; социальное обеспечение, материальная помощь и льготы многодетным и неполным семьям и т.п.</w:t>
      </w:r>
      <w:proofErr w:type="gramEnd"/>
    </w:p>
    <w:p w:rsidR="005547E6" w:rsidRDefault="005547E6" w:rsidP="00554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72">
        <w:rPr>
          <w:rFonts w:ascii="Times New Roman" w:hAnsi="Times New Roman" w:cs="Times New Roman"/>
          <w:sz w:val="28"/>
          <w:szCs w:val="28"/>
        </w:rPr>
        <w:t>В 2024 году, также как и в 2023 году актуальными остаются вопросы здравоохранения</w:t>
      </w:r>
      <w:r w:rsidR="005B07A8">
        <w:rPr>
          <w:rFonts w:ascii="Times New Roman" w:hAnsi="Times New Roman" w:cs="Times New Roman"/>
          <w:sz w:val="28"/>
          <w:szCs w:val="28"/>
        </w:rPr>
        <w:t xml:space="preserve"> </w:t>
      </w:r>
      <w:r w:rsidR="005B07A8" w:rsidRPr="005B07A8">
        <w:rPr>
          <w:rFonts w:ascii="Times New Roman" w:hAnsi="Times New Roman" w:cs="Times New Roman"/>
          <w:b/>
          <w:sz w:val="28"/>
          <w:szCs w:val="28"/>
        </w:rPr>
        <w:t>(8,1%)</w:t>
      </w:r>
      <w:r w:rsidRPr="00D84372">
        <w:rPr>
          <w:rFonts w:ascii="Times New Roman" w:hAnsi="Times New Roman" w:cs="Times New Roman"/>
          <w:sz w:val="28"/>
          <w:szCs w:val="28"/>
        </w:rPr>
        <w:t>, в частности, оказание медицинской помощи различным категориям граждан; вопросы диагностики, проведение медицинской экспертизы; оказание высокотехнологичной медицинской помощи; обеспечение населения медикаментами, лекарственными средствами и т.д.</w:t>
      </w:r>
    </w:p>
    <w:p w:rsidR="00487116" w:rsidRDefault="00487116" w:rsidP="00487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72">
        <w:rPr>
          <w:rFonts w:ascii="Times New Roman" w:hAnsi="Times New Roman" w:cs="Times New Roman"/>
          <w:sz w:val="28"/>
          <w:szCs w:val="28"/>
        </w:rPr>
        <w:t>В 2023 году актуальными были и в 2024 году остаются вопросы экологии 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: поступали обращения, касающиеся деятельности золотодобывающих компаний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 также влияние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угдедобычи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уровень загрязненности атмосферного воздуха.</w:t>
      </w:r>
    </w:p>
    <w:p w:rsidR="00487116" w:rsidRPr="00D84372" w:rsidRDefault="00487116" w:rsidP="00487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72">
        <w:rPr>
          <w:rFonts w:ascii="Times New Roman" w:hAnsi="Times New Roman" w:cs="Times New Roman"/>
          <w:sz w:val="28"/>
          <w:szCs w:val="28"/>
        </w:rPr>
        <w:t xml:space="preserve">Помимо этого, граждан волнуют вопросы, связанные с обеспечением жильем, из числа граждан категории «дети-сироты», в отношении которых приняты судебные решения о предоставлении им жилья. </w:t>
      </w:r>
    </w:p>
    <w:p w:rsidR="00487116" w:rsidRPr="00D84372" w:rsidRDefault="00487116" w:rsidP="00487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72">
        <w:rPr>
          <w:rFonts w:ascii="Times New Roman" w:hAnsi="Times New Roman" w:cs="Times New Roman"/>
          <w:sz w:val="28"/>
          <w:szCs w:val="28"/>
        </w:rPr>
        <w:t xml:space="preserve">Также поступали обращения по вопросам труда и занятости населения (соблюдение норм Трудового кодекса), защиты прав потребителей (продажа некачественного товара), ремонт, строительство дорог, обеспечение транспортной доступности населению и т.п. </w:t>
      </w:r>
    </w:p>
    <w:p w:rsidR="002159DC" w:rsidRDefault="005547E6" w:rsidP="00215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72">
        <w:rPr>
          <w:rFonts w:ascii="Times New Roman" w:hAnsi="Times New Roman" w:cs="Times New Roman"/>
          <w:sz w:val="28"/>
          <w:szCs w:val="28"/>
        </w:rPr>
        <w:t xml:space="preserve">Необходимо отметить, что в связи с тем, </w:t>
      </w:r>
      <w:r w:rsidRPr="00D843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21 сентября 2022 г. в стране объявлена частичная мобилизация, поступали и поступают обращения, </w:t>
      </w:r>
      <w:r w:rsidRPr="00D84372">
        <w:rPr>
          <w:rFonts w:ascii="Times New Roman" w:hAnsi="Times New Roman" w:cs="Times New Roman"/>
          <w:sz w:val="28"/>
          <w:szCs w:val="28"/>
        </w:rPr>
        <w:t xml:space="preserve">посвященные вопросам прохождения  военной службы в Вооруженных силах РФ в зоне проведения специальной военной операции (далее – </w:t>
      </w:r>
      <w:proofErr w:type="spellStart"/>
      <w:r w:rsidRPr="00D84372">
        <w:rPr>
          <w:rFonts w:ascii="Times New Roman" w:hAnsi="Times New Roman" w:cs="Times New Roman"/>
          <w:sz w:val="28"/>
          <w:szCs w:val="28"/>
        </w:rPr>
        <w:t>СВО</w:t>
      </w:r>
      <w:proofErr w:type="spellEnd"/>
      <w:r w:rsidRPr="00D843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07A8">
        <w:rPr>
          <w:rFonts w:ascii="Times New Roman" w:hAnsi="Times New Roman" w:cs="Times New Roman"/>
          <w:sz w:val="28"/>
          <w:szCs w:val="28"/>
        </w:rPr>
        <w:t xml:space="preserve">розыска и определения статуса военнослужащих, участников </w:t>
      </w:r>
      <w:proofErr w:type="spellStart"/>
      <w:r w:rsidR="005B07A8">
        <w:rPr>
          <w:rFonts w:ascii="Times New Roman" w:hAnsi="Times New Roman" w:cs="Times New Roman"/>
          <w:sz w:val="28"/>
          <w:szCs w:val="28"/>
        </w:rPr>
        <w:t>СВО</w:t>
      </w:r>
      <w:proofErr w:type="spellEnd"/>
      <w:r w:rsidR="005B07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оказания гуманитарной помощи</w:t>
      </w:r>
      <w:r w:rsidR="001111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другие</w:t>
      </w:r>
      <w:r w:rsidRPr="00D84372">
        <w:rPr>
          <w:rFonts w:ascii="Times New Roman" w:hAnsi="Times New Roman" w:cs="Times New Roman"/>
          <w:sz w:val="28"/>
          <w:szCs w:val="28"/>
        </w:rPr>
        <w:t xml:space="preserve">. </w:t>
      </w:r>
      <w:r w:rsidR="002159DC">
        <w:rPr>
          <w:rFonts w:ascii="Times New Roman" w:hAnsi="Times New Roman" w:cs="Times New Roman"/>
          <w:sz w:val="28"/>
          <w:szCs w:val="28"/>
        </w:rPr>
        <w:t>Данные обращения рассматривались совместно с Правительством Республики Хакасия, военным комиссариатом Республики Хакасия, военной прокуратурой Абаканского гарнизона, заявителям даны ответы по существу.</w:t>
      </w:r>
    </w:p>
    <w:p w:rsidR="005547E6" w:rsidRDefault="005547E6" w:rsidP="00554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72">
        <w:rPr>
          <w:rFonts w:ascii="Times New Roman" w:hAnsi="Times New Roman" w:cs="Times New Roman"/>
          <w:sz w:val="28"/>
          <w:szCs w:val="28"/>
        </w:rPr>
        <w:t xml:space="preserve">Также в Верховный Совет в 2023 и 2024 году поступали и поступают обращения от членов семей участников </w:t>
      </w:r>
      <w:proofErr w:type="spellStart"/>
      <w:r w:rsidRPr="00D84372">
        <w:rPr>
          <w:rFonts w:ascii="Times New Roman" w:hAnsi="Times New Roman" w:cs="Times New Roman"/>
          <w:sz w:val="28"/>
          <w:szCs w:val="28"/>
        </w:rPr>
        <w:t>СВО</w:t>
      </w:r>
      <w:proofErr w:type="spellEnd"/>
      <w:r w:rsidRPr="00D84372">
        <w:rPr>
          <w:rFonts w:ascii="Times New Roman" w:hAnsi="Times New Roman" w:cs="Times New Roman"/>
          <w:sz w:val="28"/>
          <w:szCs w:val="28"/>
        </w:rPr>
        <w:t xml:space="preserve">, с просьбой о разъяснении мер социальной поддержки, предоставляемых членам семей участников </w:t>
      </w:r>
      <w:proofErr w:type="spellStart"/>
      <w:r w:rsidRPr="00D84372">
        <w:rPr>
          <w:rFonts w:ascii="Times New Roman" w:hAnsi="Times New Roman" w:cs="Times New Roman"/>
          <w:sz w:val="28"/>
          <w:szCs w:val="28"/>
        </w:rPr>
        <w:t>СВО</w:t>
      </w:r>
      <w:proofErr w:type="spellEnd"/>
      <w:r w:rsidRPr="00D84372">
        <w:rPr>
          <w:rFonts w:ascii="Times New Roman" w:hAnsi="Times New Roman" w:cs="Times New Roman"/>
          <w:sz w:val="28"/>
          <w:szCs w:val="28"/>
        </w:rPr>
        <w:t xml:space="preserve"> на территории Республики Хакасия. Данные обращения рассматривались совместно с Правительством Республики Хакасия, заявителям даны ответы по существу.</w:t>
      </w:r>
      <w:r w:rsidR="00840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CCD" w:rsidRDefault="00616CCD" w:rsidP="005B07A8">
      <w:pPr>
        <w:pStyle w:val="ConsPlusTitle"/>
        <w:ind w:firstLine="708"/>
        <w:jc w:val="both"/>
        <w:rPr>
          <w:b w:val="0"/>
          <w:szCs w:val="28"/>
        </w:rPr>
      </w:pPr>
      <w:proofErr w:type="gramStart"/>
      <w:r w:rsidRPr="00840F9C">
        <w:rPr>
          <w:b w:val="0"/>
          <w:szCs w:val="28"/>
        </w:rPr>
        <w:t>В 2024 году Верховным Советом рассмотрены и приняты Законы Республики Хакасия, направленные на расширение категорий граждан,</w:t>
      </w:r>
      <w:r w:rsidR="005B07A8">
        <w:rPr>
          <w:b w:val="0"/>
          <w:szCs w:val="28"/>
        </w:rPr>
        <w:t xml:space="preserve"> включающих</w:t>
      </w:r>
      <w:r w:rsidR="000D4628" w:rsidRPr="000D4628">
        <w:rPr>
          <w:b w:val="0"/>
          <w:szCs w:val="28"/>
        </w:rPr>
        <w:t xml:space="preserve"> </w:t>
      </w:r>
      <w:r w:rsidR="000D4628" w:rsidRPr="005B07A8">
        <w:rPr>
          <w:b w:val="0"/>
          <w:szCs w:val="28"/>
        </w:rPr>
        <w:t xml:space="preserve">участников </w:t>
      </w:r>
      <w:proofErr w:type="spellStart"/>
      <w:r w:rsidR="000D4628" w:rsidRPr="005B07A8">
        <w:rPr>
          <w:b w:val="0"/>
          <w:szCs w:val="28"/>
        </w:rPr>
        <w:t>СВО</w:t>
      </w:r>
      <w:proofErr w:type="spellEnd"/>
      <w:r w:rsidR="000D4628">
        <w:rPr>
          <w:b w:val="0"/>
          <w:szCs w:val="28"/>
        </w:rPr>
        <w:t xml:space="preserve"> и </w:t>
      </w:r>
      <w:r w:rsidR="005B07A8">
        <w:rPr>
          <w:b w:val="0"/>
          <w:szCs w:val="28"/>
        </w:rPr>
        <w:t xml:space="preserve">членов </w:t>
      </w:r>
      <w:r w:rsidR="000D4628">
        <w:rPr>
          <w:b w:val="0"/>
          <w:szCs w:val="28"/>
        </w:rPr>
        <w:t xml:space="preserve">их </w:t>
      </w:r>
      <w:r w:rsidR="005B07A8">
        <w:rPr>
          <w:b w:val="0"/>
          <w:szCs w:val="28"/>
        </w:rPr>
        <w:t>семей</w:t>
      </w:r>
      <w:r w:rsidR="005B07A8" w:rsidRPr="005B07A8">
        <w:rPr>
          <w:b w:val="0"/>
          <w:szCs w:val="28"/>
        </w:rPr>
        <w:t>,</w:t>
      </w:r>
      <w:r w:rsidR="005B07A8">
        <w:rPr>
          <w:b w:val="0"/>
          <w:szCs w:val="28"/>
        </w:rPr>
        <w:t xml:space="preserve"> </w:t>
      </w:r>
      <w:r w:rsidR="00C603CC">
        <w:rPr>
          <w:b w:val="0"/>
          <w:szCs w:val="28"/>
        </w:rPr>
        <w:t xml:space="preserve">которые </w:t>
      </w:r>
      <w:r w:rsidRPr="00840F9C">
        <w:rPr>
          <w:b w:val="0"/>
          <w:szCs w:val="28"/>
        </w:rPr>
        <w:t>имею</w:t>
      </w:r>
      <w:r w:rsidR="00C603CC">
        <w:rPr>
          <w:b w:val="0"/>
          <w:szCs w:val="28"/>
        </w:rPr>
        <w:t>т</w:t>
      </w:r>
      <w:r w:rsidRPr="00840F9C">
        <w:rPr>
          <w:b w:val="0"/>
          <w:szCs w:val="28"/>
        </w:rPr>
        <w:t xml:space="preserve"> право на дополнительные меры социальной поддержки</w:t>
      </w:r>
      <w:r w:rsidR="005B07A8">
        <w:rPr>
          <w:b w:val="0"/>
          <w:szCs w:val="28"/>
        </w:rPr>
        <w:t>:</w:t>
      </w:r>
      <w:r w:rsidR="00840F9C">
        <w:rPr>
          <w:b w:val="0"/>
          <w:szCs w:val="28"/>
        </w:rPr>
        <w:t xml:space="preserve"> </w:t>
      </w:r>
      <w:r w:rsidR="00840F9C" w:rsidRPr="00840F9C">
        <w:rPr>
          <w:b w:val="0"/>
          <w:szCs w:val="28"/>
        </w:rPr>
        <w:t>э</w:t>
      </w:r>
      <w:r w:rsidRPr="00840F9C">
        <w:rPr>
          <w:b w:val="0"/>
          <w:szCs w:val="28"/>
        </w:rPr>
        <w:t xml:space="preserve">то Закон Республики Хакасия от 09.04.2024 № 20-ЗРХ </w:t>
      </w:r>
      <w:r w:rsidR="00840F9C" w:rsidRPr="00840F9C">
        <w:rPr>
          <w:b w:val="0"/>
          <w:szCs w:val="28"/>
        </w:rPr>
        <w:t>«</w:t>
      </w:r>
      <w:r w:rsidR="00840F9C">
        <w:rPr>
          <w:b w:val="0"/>
        </w:rPr>
        <w:t>О</w:t>
      </w:r>
      <w:r w:rsidR="00840F9C" w:rsidRPr="00840F9C">
        <w:rPr>
          <w:b w:val="0"/>
        </w:rPr>
        <w:t xml:space="preserve"> внесении изменений в отдельные </w:t>
      </w:r>
      <w:r w:rsidR="00840F9C" w:rsidRPr="00840F9C">
        <w:rPr>
          <w:b w:val="0"/>
        </w:rPr>
        <w:lastRenderedPageBreak/>
        <w:t>законодательные акты</w:t>
      </w:r>
      <w:r w:rsidR="00840F9C">
        <w:rPr>
          <w:b w:val="0"/>
        </w:rPr>
        <w:t xml:space="preserve"> Р</w:t>
      </w:r>
      <w:r w:rsidR="00840F9C" w:rsidRPr="00840F9C">
        <w:rPr>
          <w:b w:val="0"/>
        </w:rPr>
        <w:t xml:space="preserve">еспублики </w:t>
      </w:r>
      <w:r w:rsidR="00840F9C">
        <w:rPr>
          <w:b w:val="0"/>
        </w:rPr>
        <w:t>Х</w:t>
      </w:r>
      <w:r w:rsidR="00840F9C" w:rsidRPr="00840F9C">
        <w:rPr>
          <w:b w:val="0"/>
        </w:rPr>
        <w:t>акасия по вопросам предоставления</w:t>
      </w:r>
      <w:r w:rsidR="00840F9C">
        <w:rPr>
          <w:b w:val="0"/>
        </w:rPr>
        <w:t xml:space="preserve"> </w:t>
      </w:r>
      <w:r w:rsidR="00840F9C" w:rsidRPr="00840F9C">
        <w:rPr>
          <w:b w:val="0"/>
        </w:rPr>
        <w:t>дополнительных мер социальной поддержки лицам,</w:t>
      </w:r>
      <w:r w:rsidR="00840F9C">
        <w:rPr>
          <w:b w:val="0"/>
        </w:rPr>
        <w:t xml:space="preserve"> </w:t>
      </w:r>
      <w:r w:rsidR="00840F9C" w:rsidRPr="00840F9C">
        <w:rPr>
          <w:b w:val="0"/>
        </w:rPr>
        <w:t>участвующим в специальной военной операции</w:t>
      </w:r>
      <w:proofErr w:type="gramEnd"/>
      <w:r w:rsidR="00840F9C" w:rsidRPr="00840F9C">
        <w:rPr>
          <w:b w:val="0"/>
        </w:rPr>
        <w:t>,</w:t>
      </w:r>
      <w:r w:rsidR="00840F9C">
        <w:rPr>
          <w:b w:val="0"/>
        </w:rPr>
        <w:t xml:space="preserve"> </w:t>
      </w:r>
      <w:r w:rsidR="00840F9C" w:rsidRPr="00840F9C">
        <w:rPr>
          <w:b w:val="0"/>
        </w:rPr>
        <w:t>и членам их семей</w:t>
      </w:r>
      <w:r w:rsidR="00840F9C">
        <w:rPr>
          <w:b w:val="0"/>
        </w:rPr>
        <w:t xml:space="preserve">» (принят 27.03.2024), </w:t>
      </w:r>
      <w:r w:rsidR="005B07A8" w:rsidRPr="00840F9C">
        <w:rPr>
          <w:b w:val="0"/>
          <w:szCs w:val="28"/>
        </w:rPr>
        <w:t xml:space="preserve">Закон Республики Хакасия от </w:t>
      </w:r>
      <w:r w:rsidR="005B07A8">
        <w:rPr>
          <w:b w:val="0"/>
          <w:szCs w:val="28"/>
        </w:rPr>
        <w:t>12.11</w:t>
      </w:r>
      <w:r w:rsidR="005B07A8" w:rsidRPr="00840F9C">
        <w:rPr>
          <w:b w:val="0"/>
          <w:szCs w:val="28"/>
        </w:rPr>
        <w:t xml:space="preserve">.2024 № </w:t>
      </w:r>
      <w:r w:rsidR="005B07A8">
        <w:rPr>
          <w:b w:val="0"/>
          <w:szCs w:val="28"/>
        </w:rPr>
        <w:t>8</w:t>
      </w:r>
      <w:r w:rsidR="005B07A8" w:rsidRPr="00840F9C">
        <w:rPr>
          <w:b w:val="0"/>
          <w:szCs w:val="28"/>
        </w:rPr>
        <w:t>0-ЗРХ</w:t>
      </w:r>
      <w:r w:rsidR="005B07A8">
        <w:rPr>
          <w:b w:val="0"/>
          <w:szCs w:val="28"/>
        </w:rPr>
        <w:t xml:space="preserve"> </w:t>
      </w:r>
      <w:r w:rsidR="005B07A8" w:rsidRPr="005B07A8">
        <w:rPr>
          <w:b w:val="0"/>
          <w:szCs w:val="28"/>
        </w:rPr>
        <w:t>«</w:t>
      </w:r>
      <w:r w:rsidR="005B07A8">
        <w:rPr>
          <w:b w:val="0"/>
          <w:szCs w:val="28"/>
        </w:rPr>
        <w:t>О</w:t>
      </w:r>
      <w:r w:rsidR="005B07A8" w:rsidRPr="005B07A8">
        <w:rPr>
          <w:b w:val="0"/>
          <w:szCs w:val="28"/>
        </w:rPr>
        <w:t xml:space="preserve"> внесении изменений в </w:t>
      </w:r>
      <w:r w:rsidR="005B07A8">
        <w:rPr>
          <w:b w:val="0"/>
          <w:szCs w:val="28"/>
        </w:rPr>
        <w:t>З</w:t>
      </w:r>
      <w:r w:rsidR="005B07A8" w:rsidRPr="005B07A8">
        <w:rPr>
          <w:b w:val="0"/>
          <w:szCs w:val="28"/>
        </w:rPr>
        <w:t xml:space="preserve">акон </w:t>
      </w:r>
      <w:r w:rsidR="005B07A8">
        <w:rPr>
          <w:b w:val="0"/>
          <w:szCs w:val="28"/>
        </w:rPr>
        <w:t>Республики Хакасия «О</w:t>
      </w:r>
      <w:r w:rsidR="005B07A8" w:rsidRPr="005B07A8">
        <w:rPr>
          <w:b w:val="0"/>
          <w:szCs w:val="28"/>
        </w:rPr>
        <w:t xml:space="preserve">б организации отдыха и оздоровления детей в </w:t>
      </w:r>
      <w:r w:rsidR="005B07A8">
        <w:rPr>
          <w:b w:val="0"/>
          <w:szCs w:val="28"/>
        </w:rPr>
        <w:t>Республике Х</w:t>
      </w:r>
      <w:r w:rsidR="005B07A8" w:rsidRPr="005B07A8">
        <w:rPr>
          <w:b w:val="0"/>
          <w:szCs w:val="28"/>
        </w:rPr>
        <w:t>акасия»</w:t>
      </w:r>
      <w:r w:rsidR="005B07A8">
        <w:rPr>
          <w:b w:val="0"/>
          <w:szCs w:val="28"/>
        </w:rPr>
        <w:t xml:space="preserve"> (принят 30.10.2024).</w:t>
      </w:r>
    </w:p>
    <w:p w:rsidR="00C603CC" w:rsidRPr="00B57920" w:rsidRDefault="00C603CC" w:rsidP="005B07A8">
      <w:pPr>
        <w:pStyle w:val="ConsPlusTitle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Также в Верховный Совет в течение 2024 года поступали обращения граждан, зоозащитных организаций по вопросу обращения с животными без владельцев</w:t>
      </w:r>
      <w:proofErr w:type="gramStart"/>
      <w:r w:rsidR="000D4628">
        <w:rPr>
          <w:b w:val="0"/>
          <w:szCs w:val="28"/>
        </w:rPr>
        <w:t>.</w:t>
      </w:r>
      <w:proofErr w:type="gramEnd"/>
      <w:r w:rsidR="000D4628">
        <w:rPr>
          <w:b w:val="0"/>
          <w:szCs w:val="28"/>
        </w:rPr>
        <w:t xml:space="preserve"> В</w:t>
      </w:r>
      <w:r>
        <w:rPr>
          <w:b w:val="0"/>
          <w:szCs w:val="28"/>
        </w:rPr>
        <w:t xml:space="preserve"> ходе рассмотрения данных обращений </w:t>
      </w:r>
      <w:r w:rsidR="00B57920">
        <w:rPr>
          <w:b w:val="0"/>
          <w:szCs w:val="28"/>
        </w:rPr>
        <w:t xml:space="preserve">проводились совещания, </w:t>
      </w:r>
      <w:r w:rsidR="000D4628">
        <w:rPr>
          <w:b w:val="0"/>
          <w:szCs w:val="28"/>
        </w:rPr>
        <w:t>экспертные советы</w:t>
      </w:r>
      <w:r w:rsidR="00B57920">
        <w:rPr>
          <w:b w:val="0"/>
          <w:szCs w:val="28"/>
        </w:rPr>
        <w:t xml:space="preserve"> </w:t>
      </w:r>
      <w:r>
        <w:rPr>
          <w:b w:val="0"/>
          <w:szCs w:val="28"/>
        </w:rPr>
        <w:t>с приглаш</w:t>
      </w:r>
      <w:r w:rsidR="00B57920">
        <w:rPr>
          <w:b w:val="0"/>
          <w:szCs w:val="28"/>
        </w:rPr>
        <w:t>е</w:t>
      </w:r>
      <w:r>
        <w:rPr>
          <w:b w:val="0"/>
          <w:szCs w:val="28"/>
        </w:rPr>
        <w:t xml:space="preserve">нием </w:t>
      </w:r>
      <w:r w:rsidR="00B57920">
        <w:rPr>
          <w:b w:val="0"/>
          <w:szCs w:val="28"/>
        </w:rPr>
        <w:t xml:space="preserve">представителей зоозащитных организаций, разработан проект закона Республики Хакасия </w:t>
      </w:r>
      <w:r w:rsidR="00B57920" w:rsidRPr="00B57920">
        <w:rPr>
          <w:b w:val="0"/>
          <w:szCs w:val="28"/>
        </w:rPr>
        <w:t>«</w:t>
      </w:r>
      <w:r w:rsidR="00B57920">
        <w:rPr>
          <w:b w:val="0"/>
          <w:szCs w:val="28"/>
        </w:rPr>
        <w:t>О</w:t>
      </w:r>
      <w:r w:rsidR="00B57920" w:rsidRPr="00B57920">
        <w:rPr>
          <w:b w:val="0"/>
          <w:szCs w:val="28"/>
        </w:rPr>
        <w:t xml:space="preserve"> регулировании отдельных вопросов в области обращения с животными без владельцев на территории </w:t>
      </w:r>
      <w:r w:rsidR="00B57920">
        <w:rPr>
          <w:b w:val="0"/>
          <w:szCs w:val="28"/>
        </w:rPr>
        <w:t>Р</w:t>
      </w:r>
      <w:r w:rsidR="00B57920" w:rsidRPr="00B57920">
        <w:rPr>
          <w:b w:val="0"/>
          <w:szCs w:val="28"/>
        </w:rPr>
        <w:t xml:space="preserve">еспублики </w:t>
      </w:r>
      <w:r w:rsidR="00B57920">
        <w:rPr>
          <w:b w:val="0"/>
          <w:szCs w:val="28"/>
        </w:rPr>
        <w:t>Х</w:t>
      </w:r>
      <w:r w:rsidR="00B57920" w:rsidRPr="00B57920">
        <w:rPr>
          <w:b w:val="0"/>
          <w:szCs w:val="28"/>
        </w:rPr>
        <w:t>акасия»</w:t>
      </w:r>
      <w:r w:rsidR="00B57920">
        <w:rPr>
          <w:b w:val="0"/>
          <w:szCs w:val="28"/>
        </w:rPr>
        <w:t>, который был принят Верховным Советом 25 декабря 2024 года.</w:t>
      </w:r>
    </w:p>
    <w:p w:rsidR="005547E6" w:rsidRDefault="005547E6" w:rsidP="00554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72">
        <w:rPr>
          <w:rFonts w:ascii="Times New Roman" w:hAnsi="Times New Roman" w:cs="Times New Roman"/>
          <w:sz w:val="28"/>
          <w:szCs w:val="28"/>
        </w:rPr>
        <w:t>В течение года председателями комитетов</w:t>
      </w:r>
      <w:r w:rsidR="00025B06">
        <w:rPr>
          <w:rFonts w:ascii="Times New Roman" w:hAnsi="Times New Roman" w:cs="Times New Roman"/>
          <w:sz w:val="28"/>
          <w:szCs w:val="28"/>
        </w:rPr>
        <w:t xml:space="preserve"> (комиссии)</w:t>
      </w:r>
      <w:r w:rsidRPr="00D84372">
        <w:rPr>
          <w:rFonts w:ascii="Times New Roman" w:hAnsi="Times New Roman" w:cs="Times New Roman"/>
          <w:sz w:val="28"/>
          <w:szCs w:val="28"/>
        </w:rPr>
        <w:t xml:space="preserve"> Верховного Совета проводились личные приемы граждан согласно существующему графику, который утверждается Председателем Верховного Совета. Кроме того, депутаты Верховного Совета (председатели комитетов Верховного Совета) принимали избирателей на своих избирательных округах. </w:t>
      </w:r>
    </w:p>
    <w:p w:rsidR="00B57920" w:rsidRPr="00D84372" w:rsidRDefault="00B57920" w:rsidP="00B57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72">
        <w:rPr>
          <w:rFonts w:ascii="Times New Roman" w:hAnsi="Times New Roman" w:cs="Times New Roman"/>
          <w:sz w:val="28"/>
          <w:szCs w:val="28"/>
        </w:rPr>
        <w:t>Все замечания и предложения, поступающие во время личных приемов, встреч, как в устной, так и письменной форме, обобщаются и анализируются. Информация о принятых мерах по обращению доводится до заявителя.</w:t>
      </w:r>
    </w:p>
    <w:p w:rsidR="005547E6" w:rsidRDefault="005547E6" w:rsidP="00554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72">
        <w:rPr>
          <w:rFonts w:ascii="Times New Roman" w:hAnsi="Times New Roman" w:cs="Times New Roman"/>
          <w:sz w:val="28"/>
          <w:szCs w:val="28"/>
        </w:rPr>
        <w:t>Все поступившие обращения граждан зарегистрированы в установленные Федеральным законом от 02.05.2006 № 59-ФЗ «О порядке рассмотрения обращений граждан Российской Федерации» сроки, рассмотрены по существу или перенаправлены по компетенции, заявителям направлены ответы.</w:t>
      </w:r>
    </w:p>
    <w:p w:rsidR="00025B06" w:rsidRDefault="00025B06" w:rsidP="00025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87F">
        <w:rPr>
          <w:rFonts w:ascii="Times New Roman" w:hAnsi="Times New Roman" w:cs="Times New Roman"/>
          <w:sz w:val="28"/>
          <w:szCs w:val="28"/>
        </w:rPr>
        <w:t>Регулярно проводится аналитическая работа по выявлению причин обращений граждан, усилена контрольная работа за исполнением обращений.</w:t>
      </w:r>
    </w:p>
    <w:p w:rsidR="000D4628" w:rsidRDefault="000D4628" w:rsidP="000D4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Pr="00F4187F">
        <w:rPr>
          <w:rFonts w:ascii="Times New Roman" w:hAnsi="Times New Roman" w:cs="Times New Roman"/>
          <w:sz w:val="28"/>
          <w:szCs w:val="28"/>
        </w:rPr>
        <w:t>Указа Президента РФ от 17 апреля 2017 года № 171 «О мониторинге и анализе результатов рассмотрения обращений граждан и организаций»</w:t>
      </w:r>
      <w:r>
        <w:rPr>
          <w:rFonts w:ascii="Times New Roman" w:hAnsi="Times New Roman" w:cs="Times New Roman"/>
          <w:sz w:val="28"/>
          <w:szCs w:val="28"/>
        </w:rPr>
        <w:t xml:space="preserve"> ежемесячно представлялась в Администрацию Президента Российской Федерации информация о результатах рассмотрения обращений граждан посредством использования закрытого информационного ресурса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ССТУ.РФ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4628" w:rsidRPr="00F4187F" w:rsidRDefault="000D4628" w:rsidP="00025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7E6" w:rsidRDefault="005547E6" w:rsidP="00554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7920" w:rsidRDefault="00B57920" w:rsidP="00554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57920" w:rsidSect="00DA6899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3E" w:rsidRDefault="00B6573E" w:rsidP="00264F16">
      <w:pPr>
        <w:spacing w:after="0" w:line="240" w:lineRule="auto"/>
      </w:pPr>
      <w:r>
        <w:separator/>
      </w:r>
    </w:p>
  </w:endnote>
  <w:endnote w:type="continuationSeparator" w:id="0">
    <w:p w:rsidR="00B6573E" w:rsidRDefault="00B6573E" w:rsidP="0026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3E" w:rsidRDefault="00B6573E" w:rsidP="00264F16">
      <w:pPr>
        <w:spacing w:after="0" w:line="240" w:lineRule="auto"/>
      </w:pPr>
      <w:r>
        <w:separator/>
      </w:r>
    </w:p>
  </w:footnote>
  <w:footnote w:type="continuationSeparator" w:id="0">
    <w:p w:rsidR="00B6573E" w:rsidRDefault="00B6573E" w:rsidP="00264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606179"/>
      <w:docPartObj>
        <w:docPartGallery w:val="Page Numbers (Top of Page)"/>
        <w:docPartUnique/>
      </w:docPartObj>
    </w:sdtPr>
    <w:sdtEndPr/>
    <w:sdtContent>
      <w:p w:rsidR="00D84372" w:rsidRDefault="00B657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628">
          <w:rPr>
            <w:noProof/>
          </w:rPr>
          <w:t>7</w:t>
        </w:r>
        <w:r>
          <w:fldChar w:fldCharType="end"/>
        </w:r>
      </w:p>
    </w:sdtContent>
  </w:sdt>
  <w:p w:rsidR="00D84372" w:rsidRDefault="000D46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E6"/>
    <w:rsid w:val="0000033B"/>
    <w:rsid w:val="00003C93"/>
    <w:rsid w:val="000114AE"/>
    <w:rsid w:val="00021B00"/>
    <w:rsid w:val="00025B06"/>
    <w:rsid w:val="0005500E"/>
    <w:rsid w:val="00063E81"/>
    <w:rsid w:val="00067A2F"/>
    <w:rsid w:val="00075C9E"/>
    <w:rsid w:val="000C4EBB"/>
    <w:rsid w:val="000C5E7B"/>
    <w:rsid w:val="000D4628"/>
    <w:rsid w:val="0010448C"/>
    <w:rsid w:val="001111A9"/>
    <w:rsid w:val="001138F5"/>
    <w:rsid w:val="00114711"/>
    <w:rsid w:val="001407D9"/>
    <w:rsid w:val="00166FE3"/>
    <w:rsid w:val="001A7308"/>
    <w:rsid w:val="001F608B"/>
    <w:rsid w:val="00203303"/>
    <w:rsid w:val="002159DC"/>
    <w:rsid w:val="00221C30"/>
    <w:rsid w:val="00255486"/>
    <w:rsid w:val="00264F16"/>
    <w:rsid w:val="002A5197"/>
    <w:rsid w:val="002B2FCC"/>
    <w:rsid w:val="002C3A81"/>
    <w:rsid w:val="0031684D"/>
    <w:rsid w:val="00316DB0"/>
    <w:rsid w:val="00332455"/>
    <w:rsid w:val="00374B6B"/>
    <w:rsid w:val="003E11E6"/>
    <w:rsid w:val="003F0752"/>
    <w:rsid w:val="003F3975"/>
    <w:rsid w:val="0040117F"/>
    <w:rsid w:val="00410B3B"/>
    <w:rsid w:val="004509E5"/>
    <w:rsid w:val="0048665E"/>
    <w:rsid w:val="00487116"/>
    <w:rsid w:val="004D40B4"/>
    <w:rsid w:val="004E65C8"/>
    <w:rsid w:val="004E6672"/>
    <w:rsid w:val="004F6C41"/>
    <w:rsid w:val="00517EC8"/>
    <w:rsid w:val="00523397"/>
    <w:rsid w:val="00530CFE"/>
    <w:rsid w:val="005547E6"/>
    <w:rsid w:val="00595885"/>
    <w:rsid w:val="005A3BD1"/>
    <w:rsid w:val="005B07A8"/>
    <w:rsid w:val="005D6501"/>
    <w:rsid w:val="005E12AE"/>
    <w:rsid w:val="00602197"/>
    <w:rsid w:val="00616CCD"/>
    <w:rsid w:val="00625F07"/>
    <w:rsid w:val="00630B3A"/>
    <w:rsid w:val="00664D59"/>
    <w:rsid w:val="00694DCA"/>
    <w:rsid w:val="006B1A2E"/>
    <w:rsid w:val="006B37B0"/>
    <w:rsid w:val="006E75BD"/>
    <w:rsid w:val="00700B11"/>
    <w:rsid w:val="00756260"/>
    <w:rsid w:val="007C5E2C"/>
    <w:rsid w:val="007D731B"/>
    <w:rsid w:val="007E47FA"/>
    <w:rsid w:val="00840F9C"/>
    <w:rsid w:val="008611CF"/>
    <w:rsid w:val="0088173A"/>
    <w:rsid w:val="00885A2B"/>
    <w:rsid w:val="008B30E9"/>
    <w:rsid w:val="008E6015"/>
    <w:rsid w:val="008E6600"/>
    <w:rsid w:val="0093072D"/>
    <w:rsid w:val="00940E04"/>
    <w:rsid w:val="00992D52"/>
    <w:rsid w:val="00997E3E"/>
    <w:rsid w:val="009B1579"/>
    <w:rsid w:val="009B3C75"/>
    <w:rsid w:val="009C353D"/>
    <w:rsid w:val="00A003A2"/>
    <w:rsid w:val="00A03909"/>
    <w:rsid w:val="00A237E8"/>
    <w:rsid w:val="00A56BBD"/>
    <w:rsid w:val="00A6721C"/>
    <w:rsid w:val="00AA7505"/>
    <w:rsid w:val="00AF4C18"/>
    <w:rsid w:val="00B0714F"/>
    <w:rsid w:val="00B54102"/>
    <w:rsid w:val="00B57920"/>
    <w:rsid w:val="00B644B0"/>
    <w:rsid w:val="00B6573E"/>
    <w:rsid w:val="00B730C4"/>
    <w:rsid w:val="00B86CDD"/>
    <w:rsid w:val="00BA260A"/>
    <w:rsid w:val="00BB0793"/>
    <w:rsid w:val="00BB2FCC"/>
    <w:rsid w:val="00BD6BEC"/>
    <w:rsid w:val="00BE49C0"/>
    <w:rsid w:val="00C07265"/>
    <w:rsid w:val="00C106AD"/>
    <w:rsid w:val="00C27970"/>
    <w:rsid w:val="00C47E87"/>
    <w:rsid w:val="00C603CC"/>
    <w:rsid w:val="00C64418"/>
    <w:rsid w:val="00C77367"/>
    <w:rsid w:val="00CE2EF8"/>
    <w:rsid w:val="00D54901"/>
    <w:rsid w:val="00D721C3"/>
    <w:rsid w:val="00D81B9A"/>
    <w:rsid w:val="00D92AAB"/>
    <w:rsid w:val="00DA6899"/>
    <w:rsid w:val="00DE1C4B"/>
    <w:rsid w:val="00E009DA"/>
    <w:rsid w:val="00E67F32"/>
    <w:rsid w:val="00E67F33"/>
    <w:rsid w:val="00E71C08"/>
    <w:rsid w:val="00E77772"/>
    <w:rsid w:val="00E81B42"/>
    <w:rsid w:val="00EB7C6C"/>
    <w:rsid w:val="00EC3F8A"/>
    <w:rsid w:val="00EF5AE7"/>
    <w:rsid w:val="00F165EC"/>
    <w:rsid w:val="00F46C9E"/>
    <w:rsid w:val="00F52695"/>
    <w:rsid w:val="00F63949"/>
    <w:rsid w:val="00F74516"/>
    <w:rsid w:val="00FE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F16"/>
  </w:style>
  <w:style w:type="paragraph" w:styleId="a5">
    <w:name w:val="footer"/>
    <w:basedOn w:val="a"/>
    <w:link w:val="a6"/>
    <w:uiPriority w:val="99"/>
    <w:unhideWhenUsed/>
    <w:rsid w:val="0026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F16"/>
  </w:style>
  <w:style w:type="character" w:styleId="a7">
    <w:name w:val="Placeholder Text"/>
    <w:basedOn w:val="a0"/>
    <w:uiPriority w:val="99"/>
    <w:semiHidden/>
    <w:rsid w:val="00264F1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6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F1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54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40F9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F16"/>
  </w:style>
  <w:style w:type="paragraph" w:styleId="a5">
    <w:name w:val="footer"/>
    <w:basedOn w:val="a"/>
    <w:link w:val="a6"/>
    <w:uiPriority w:val="99"/>
    <w:unhideWhenUsed/>
    <w:rsid w:val="0026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F16"/>
  </w:style>
  <w:style w:type="character" w:styleId="a7">
    <w:name w:val="Placeholder Text"/>
    <w:basedOn w:val="a0"/>
    <w:uiPriority w:val="99"/>
    <w:semiHidden/>
    <w:rsid w:val="00264F1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6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F1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54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40F9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обращений, поступивших в Верховный Совет РХ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обращений, поступивших в Верховный Совет РХ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054592"/>
        <c:axId val="43056128"/>
      </c:barChart>
      <c:catAx>
        <c:axId val="43054592"/>
        <c:scaling>
          <c:orientation val="minMax"/>
        </c:scaling>
        <c:delete val="0"/>
        <c:axPos val="b"/>
        <c:majorTickMark val="out"/>
        <c:minorTickMark val="none"/>
        <c:tickLblPos val="nextTo"/>
        <c:crossAx val="43056128"/>
        <c:crosses val="autoZero"/>
        <c:auto val="1"/>
        <c:lblAlgn val="ctr"/>
        <c:lblOffset val="100"/>
        <c:noMultiLvlLbl val="0"/>
      </c:catAx>
      <c:valAx>
        <c:axId val="43056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0545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 </c:v>
                </c:pt>
                <c:pt idx="11">
                  <c:v>Декабрь 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</c:v>
                </c:pt>
                <c:pt idx="1">
                  <c:v>6</c:v>
                </c:pt>
                <c:pt idx="2">
                  <c:v>12</c:v>
                </c:pt>
                <c:pt idx="3">
                  <c:v>11</c:v>
                </c:pt>
                <c:pt idx="4">
                  <c:v>5</c:v>
                </c:pt>
                <c:pt idx="5">
                  <c:v>10</c:v>
                </c:pt>
                <c:pt idx="6">
                  <c:v>10</c:v>
                </c:pt>
                <c:pt idx="7">
                  <c:v>7</c:v>
                </c:pt>
                <c:pt idx="8">
                  <c:v>13</c:v>
                </c:pt>
                <c:pt idx="9">
                  <c:v>38</c:v>
                </c:pt>
                <c:pt idx="10">
                  <c:v>28</c:v>
                </c:pt>
                <c:pt idx="11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 </c:v>
                </c:pt>
                <c:pt idx="11">
                  <c:v>Декабрь 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17</c:v>
                </c:pt>
                <c:pt idx="1">
                  <c:v>25</c:v>
                </c:pt>
                <c:pt idx="2">
                  <c:v>28</c:v>
                </c:pt>
                <c:pt idx="3">
                  <c:v>24</c:v>
                </c:pt>
                <c:pt idx="4">
                  <c:v>22</c:v>
                </c:pt>
                <c:pt idx="5">
                  <c:v>15</c:v>
                </c:pt>
                <c:pt idx="6">
                  <c:v>11</c:v>
                </c:pt>
                <c:pt idx="7">
                  <c:v>12</c:v>
                </c:pt>
                <c:pt idx="8">
                  <c:v>13</c:v>
                </c:pt>
                <c:pt idx="9">
                  <c:v>23</c:v>
                </c:pt>
                <c:pt idx="10">
                  <c:v>15</c:v>
                </c:pt>
                <c:pt idx="11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7429376"/>
        <c:axId val="117430912"/>
        <c:axId val="0"/>
      </c:bar3DChart>
      <c:catAx>
        <c:axId val="117429376"/>
        <c:scaling>
          <c:orientation val="minMax"/>
        </c:scaling>
        <c:delete val="0"/>
        <c:axPos val="b"/>
        <c:majorTickMark val="out"/>
        <c:minorTickMark val="none"/>
        <c:tickLblPos val="nextTo"/>
        <c:crossAx val="117430912"/>
        <c:crosses val="autoZero"/>
        <c:auto val="1"/>
        <c:lblAlgn val="ctr"/>
        <c:lblOffset val="100"/>
        <c:noMultiLvlLbl val="0"/>
      </c:catAx>
      <c:valAx>
        <c:axId val="117430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4293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Способ поступления обращений</c:v>
                </c:pt>
              </c:strCache>
            </c:strRef>
          </c:tx>
          <c:explosion val="25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лично</c:v>
                </c:pt>
                <c:pt idx="1">
                  <c:v>почта РФ</c:v>
                </c:pt>
                <c:pt idx="2">
                  <c:v>интернет-приемная, электронная почта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90</c:v>
                </c:pt>
                <c:pt idx="1">
                  <c:v>39</c:v>
                </c:pt>
                <c:pt idx="2">
                  <c:v>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C1395-A481-499E-BF8C-D47454FE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С. Безверхая</dc:creator>
  <cp:lastModifiedBy>Жанна С. Безверхая</cp:lastModifiedBy>
  <cp:revision>3</cp:revision>
  <cp:lastPrinted>2025-02-26T10:51:00Z</cp:lastPrinted>
  <dcterms:created xsi:type="dcterms:W3CDTF">2025-02-26T10:56:00Z</dcterms:created>
  <dcterms:modified xsi:type="dcterms:W3CDTF">2025-02-27T02:49:00Z</dcterms:modified>
</cp:coreProperties>
</file>