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FA" w:rsidRPr="002625B8" w:rsidRDefault="00FE78FA" w:rsidP="00FE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B8">
        <w:rPr>
          <w:rFonts w:ascii="Times New Roman" w:hAnsi="Times New Roman" w:cs="Times New Roman"/>
          <w:b/>
          <w:sz w:val="28"/>
          <w:szCs w:val="28"/>
        </w:rPr>
        <w:t>Обзор обращений граждан,</w:t>
      </w:r>
    </w:p>
    <w:p w:rsidR="00FE78FA" w:rsidRDefault="00FE78FA" w:rsidP="00FE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B8">
        <w:rPr>
          <w:rFonts w:ascii="Times New Roman" w:hAnsi="Times New Roman" w:cs="Times New Roman"/>
          <w:b/>
          <w:sz w:val="28"/>
          <w:szCs w:val="28"/>
        </w:rPr>
        <w:t>поступивших в Вер</w:t>
      </w:r>
      <w:r>
        <w:rPr>
          <w:rFonts w:ascii="Times New Roman" w:hAnsi="Times New Roman" w:cs="Times New Roman"/>
          <w:b/>
          <w:sz w:val="28"/>
          <w:szCs w:val="28"/>
        </w:rPr>
        <w:t>ховный Совет Республики Хакасия,</w:t>
      </w:r>
    </w:p>
    <w:p w:rsidR="00FE78FA" w:rsidRDefault="00FE78FA" w:rsidP="00FE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9E">
        <w:rPr>
          <w:rFonts w:ascii="Times New Roman" w:hAnsi="Times New Roman" w:cs="Times New Roman"/>
          <w:b/>
          <w:sz w:val="28"/>
          <w:szCs w:val="28"/>
        </w:rPr>
        <w:t>за 2025</w:t>
      </w:r>
      <w:r w:rsidR="007C1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59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E78FA" w:rsidRPr="002625B8" w:rsidRDefault="00FE78FA" w:rsidP="00FE7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FA" w:rsidRDefault="00FE78FA" w:rsidP="00FE7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D84372">
        <w:rPr>
          <w:rFonts w:ascii="Times New Roman" w:hAnsi="Times New Roman" w:cs="Times New Roman"/>
          <w:sz w:val="28"/>
          <w:szCs w:val="28"/>
        </w:rPr>
        <w:t xml:space="preserve"> году в Верховный Совет Республики Хакасия (далее – Верховный Совет) поступило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255 </w:t>
      </w:r>
      <w:r w:rsidRPr="00D84372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84372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8437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граждан и объединений граждан, </w:t>
      </w:r>
      <w:r w:rsidRPr="00F4187F">
        <w:rPr>
          <w:rFonts w:ascii="Times New Roman" w:hAnsi="Times New Roman" w:cs="Times New Roman"/>
          <w:sz w:val="28"/>
          <w:szCs w:val="28"/>
        </w:rPr>
        <w:t>направленных на имя Председателя Верховного Совета Республики Хакасия, его заместителей, председателей комитетов и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4187F">
        <w:rPr>
          <w:rFonts w:ascii="Times New Roman" w:hAnsi="Times New Roman" w:cs="Times New Roman"/>
          <w:sz w:val="28"/>
          <w:szCs w:val="28"/>
        </w:rPr>
        <w:t>Верховного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8FA" w:rsidRPr="00F4187F" w:rsidRDefault="00FE78FA" w:rsidP="00FE7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7F">
        <w:rPr>
          <w:rFonts w:ascii="Times New Roman" w:hAnsi="Times New Roman" w:cs="Times New Roman"/>
          <w:sz w:val="28"/>
          <w:szCs w:val="28"/>
        </w:rPr>
        <w:t>Рассмотрение обращений граждан осуществляется в 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187F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</w:t>
      </w:r>
      <w:r w:rsidR="00B33D69">
        <w:rPr>
          <w:rFonts w:ascii="Times New Roman" w:hAnsi="Times New Roman" w:cs="Times New Roman"/>
          <w:sz w:val="28"/>
          <w:szCs w:val="28"/>
        </w:rPr>
        <w:t xml:space="preserve"> </w:t>
      </w:r>
      <w:r w:rsidR="00B33D69" w:rsidRPr="00B33D69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B33D6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3D69" w:rsidRPr="00B33D69">
        <w:rPr>
          <w:rFonts w:ascii="Times New Roman" w:hAnsi="Times New Roman" w:cs="Times New Roman"/>
          <w:sz w:val="28"/>
          <w:szCs w:val="28"/>
        </w:rPr>
        <w:t>№ 59-ФЗ)</w:t>
      </w:r>
      <w:r w:rsidRPr="00F4187F">
        <w:rPr>
          <w:rFonts w:ascii="Times New Roman" w:hAnsi="Times New Roman" w:cs="Times New Roman"/>
          <w:sz w:val="28"/>
          <w:szCs w:val="28"/>
        </w:rPr>
        <w:t>.</w:t>
      </w:r>
    </w:p>
    <w:p w:rsidR="00FE78FA" w:rsidRPr="00F4187F" w:rsidRDefault="00FE78FA" w:rsidP="00FE7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7F">
        <w:rPr>
          <w:rFonts w:ascii="Times New Roman" w:hAnsi="Times New Roman" w:cs="Times New Roman"/>
          <w:sz w:val="28"/>
          <w:szCs w:val="28"/>
        </w:rPr>
        <w:t>Анализ об</w:t>
      </w:r>
      <w:r w:rsidR="001817F7">
        <w:rPr>
          <w:rFonts w:ascii="Times New Roman" w:hAnsi="Times New Roman" w:cs="Times New Roman"/>
          <w:sz w:val="28"/>
          <w:szCs w:val="28"/>
        </w:rPr>
        <w:t>ращений граждан показывает, что</w:t>
      </w:r>
      <w:r w:rsidRPr="00F4187F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187F">
        <w:rPr>
          <w:rFonts w:ascii="Times New Roman" w:hAnsi="Times New Roman" w:cs="Times New Roman"/>
          <w:sz w:val="28"/>
          <w:szCs w:val="28"/>
        </w:rPr>
        <w:t xml:space="preserve"> го</w:t>
      </w:r>
      <w:r w:rsidR="001817F7">
        <w:rPr>
          <w:rFonts w:ascii="Times New Roman" w:hAnsi="Times New Roman" w:cs="Times New Roman"/>
          <w:sz w:val="28"/>
          <w:szCs w:val="28"/>
        </w:rPr>
        <w:t>дом</w:t>
      </w:r>
      <w:r w:rsidRPr="00F4187F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18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D33AF">
        <w:rPr>
          <w:rFonts w:ascii="Times New Roman" w:hAnsi="Times New Roman" w:cs="Times New Roman"/>
          <w:sz w:val="28"/>
          <w:szCs w:val="28"/>
        </w:rPr>
        <w:t xml:space="preserve">их количество </w:t>
      </w:r>
      <w:r w:rsidRPr="00F4187F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1817F7">
        <w:rPr>
          <w:rFonts w:ascii="Times New Roman" w:hAnsi="Times New Roman" w:cs="Times New Roman"/>
          <w:sz w:val="28"/>
          <w:szCs w:val="28"/>
        </w:rPr>
        <w:t xml:space="preserve"> в</w:t>
      </w:r>
      <w:r w:rsidRPr="00F4187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187F">
        <w:rPr>
          <w:rFonts w:ascii="Times New Roman" w:hAnsi="Times New Roman" w:cs="Times New Roman"/>
          <w:sz w:val="28"/>
          <w:szCs w:val="28"/>
        </w:rPr>
        <w:t xml:space="preserve"> год</w:t>
      </w:r>
      <w:r w:rsidR="001817F7">
        <w:rPr>
          <w:rFonts w:ascii="Times New Roman" w:hAnsi="Times New Roman" w:cs="Times New Roman"/>
          <w:sz w:val="28"/>
          <w:szCs w:val="28"/>
        </w:rPr>
        <w:t>у</w:t>
      </w:r>
      <w:r w:rsidRPr="00F4187F">
        <w:rPr>
          <w:rFonts w:ascii="Times New Roman" w:hAnsi="Times New Roman" w:cs="Times New Roman"/>
          <w:sz w:val="28"/>
          <w:szCs w:val="28"/>
        </w:rPr>
        <w:t xml:space="preserve"> </w:t>
      </w:r>
      <w:r w:rsidR="001817F7">
        <w:rPr>
          <w:rFonts w:ascii="Times New Roman" w:hAnsi="Times New Roman" w:cs="Times New Roman"/>
          <w:sz w:val="28"/>
          <w:szCs w:val="28"/>
        </w:rPr>
        <w:t>поступило</w:t>
      </w:r>
      <w:r w:rsidRPr="00F41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223 обращения, в 2025 год</w:t>
      </w:r>
      <w:r w:rsidR="001817F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255.</w:t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обращений, поступивших в</w:t>
      </w:r>
      <w:r w:rsidRPr="009C353D">
        <w:rPr>
          <w:rFonts w:ascii="Times New Roman" w:hAnsi="Times New Roman" w:cs="Times New Roman"/>
          <w:sz w:val="28"/>
          <w:szCs w:val="28"/>
        </w:rPr>
        <w:t xml:space="preserve"> </w:t>
      </w:r>
      <w:r w:rsidRPr="00D84372">
        <w:rPr>
          <w:rFonts w:ascii="Times New Roman" w:hAnsi="Times New Roman" w:cs="Times New Roman"/>
          <w:sz w:val="28"/>
          <w:szCs w:val="28"/>
        </w:rPr>
        <w:t>Верховный Совет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EA15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</w:t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месяцам:</w:t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tabs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812" w:type="dxa"/>
          </w:tcPr>
          <w:p w:rsidR="00EA15A9" w:rsidRPr="005547E6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812" w:type="dxa"/>
          </w:tcPr>
          <w:p w:rsidR="00EA15A9" w:rsidRPr="005547E6" w:rsidRDefault="00EA15A9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15A9" w:rsidRPr="00D84372" w:rsidTr="00172F5C">
        <w:tc>
          <w:tcPr>
            <w:tcW w:w="2835" w:type="dxa"/>
          </w:tcPr>
          <w:p w:rsidR="00EA15A9" w:rsidRPr="00D84372" w:rsidRDefault="00EA15A9" w:rsidP="00172F5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812" w:type="dxa"/>
          </w:tcPr>
          <w:p w:rsidR="00EA15A9" w:rsidRPr="00D84372" w:rsidRDefault="00EA15A9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255</w:t>
            </w:r>
          </w:p>
        </w:tc>
      </w:tr>
    </w:tbl>
    <w:p w:rsidR="009B5FE9" w:rsidRDefault="009B5FE9" w:rsidP="00FE7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FE78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поступивших обращений в 202</w:t>
      </w:r>
      <w:r w:rsidR="00952A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2A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FE78FA" w:rsidRDefault="00FE78FA" w:rsidP="00FE7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месяцам):</w:t>
      </w:r>
    </w:p>
    <w:p w:rsidR="00952A15" w:rsidRDefault="00952A15" w:rsidP="00FE78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A15" w:rsidRDefault="00952A15" w:rsidP="00952A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457AA3" wp14:editId="6E7EC230">
            <wp:extent cx="56769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52A15" w:rsidRDefault="00952A15" w:rsidP="004A5B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4A5B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В Верховный Совет обращения поступа</w:t>
      </w:r>
      <w:r w:rsidR="004A5B48">
        <w:rPr>
          <w:rFonts w:ascii="Times New Roman" w:hAnsi="Times New Roman" w:cs="Times New Roman"/>
          <w:sz w:val="28"/>
          <w:szCs w:val="28"/>
        </w:rPr>
        <w:t>ли</w:t>
      </w:r>
      <w:r w:rsidRPr="00D84372">
        <w:rPr>
          <w:rFonts w:ascii="Times New Roman" w:hAnsi="Times New Roman" w:cs="Times New Roman"/>
          <w:sz w:val="28"/>
          <w:szCs w:val="28"/>
        </w:rPr>
        <w:t xml:space="preserve"> непосредственно от заявителей (лично), через почту России</w:t>
      </w:r>
      <w:r w:rsidR="004A5B48">
        <w:rPr>
          <w:rFonts w:ascii="Times New Roman" w:hAnsi="Times New Roman" w:cs="Times New Roman"/>
          <w:sz w:val="28"/>
          <w:szCs w:val="28"/>
        </w:rPr>
        <w:t xml:space="preserve"> в письменной форме, </w:t>
      </w:r>
      <w:r w:rsidR="00C47AAF">
        <w:rPr>
          <w:rFonts w:ascii="Times New Roman" w:hAnsi="Times New Roman" w:cs="Times New Roman"/>
          <w:sz w:val="28"/>
          <w:szCs w:val="28"/>
        </w:rPr>
        <w:t xml:space="preserve">а </w:t>
      </w:r>
      <w:r w:rsidR="004A5B48">
        <w:rPr>
          <w:rFonts w:ascii="Times New Roman" w:hAnsi="Times New Roman" w:cs="Times New Roman"/>
          <w:sz w:val="28"/>
          <w:szCs w:val="28"/>
        </w:rPr>
        <w:t xml:space="preserve">также в форме электронного документа </w:t>
      </w:r>
      <w:r w:rsidR="00C47AAF">
        <w:rPr>
          <w:rFonts w:ascii="Times New Roman" w:hAnsi="Times New Roman" w:cs="Times New Roman"/>
          <w:sz w:val="28"/>
          <w:szCs w:val="28"/>
        </w:rPr>
        <w:t>через</w:t>
      </w:r>
      <w:r w:rsidRPr="00D84372">
        <w:rPr>
          <w:rFonts w:ascii="Times New Roman" w:hAnsi="Times New Roman" w:cs="Times New Roman"/>
          <w:sz w:val="28"/>
          <w:szCs w:val="28"/>
        </w:rPr>
        <w:t xml:space="preserve"> интернет-приемн</w:t>
      </w:r>
      <w:r w:rsidR="00C47AAF">
        <w:rPr>
          <w:rFonts w:ascii="Times New Roman" w:hAnsi="Times New Roman" w:cs="Times New Roman"/>
          <w:sz w:val="28"/>
          <w:szCs w:val="28"/>
        </w:rPr>
        <w:t>ую</w:t>
      </w:r>
      <w:r w:rsidR="00AC4E85">
        <w:rPr>
          <w:rFonts w:ascii="Times New Roman" w:hAnsi="Times New Roman" w:cs="Times New Roman"/>
          <w:sz w:val="28"/>
          <w:szCs w:val="28"/>
        </w:rPr>
        <w:t xml:space="preserve">, </w:t>
      </w:r>
      <w:r w:rsidR="00C47AAF">
        <w:rPr>
          <w:rFonts w:ascii="Times New Roman" w:hAnsi="Times New Roman" w:cs="Times New Roman"/>
          <w:sz w:val="28"/>
          <w:szCs w:val="28"/>
        </w:rPr>
        <w:t xml:space="preserve">по </w:t>
      </w:r>
      <w:r w:rsidRPr="00D84372">
        <w:rPr>
          <w:rFonts w:ascii="Times New Roman" w:hAnsi="Times New Roman" w:cs="Times New Roman"/>
          <w:sz w:val="28"/>
          <w:szCs w:val="28"/>
        </w:rPr>
        <w:t>элек</w:t>
      </w:r>
      <w:r w:rsidR="004A5B48">
        <w:rPr>
          <w:rFonts w:ascii="Times New Roman" w:hAnsi="Times New Roman" w:cs="Times New Roman"/>
          <w:sz w:val="28"/>
          <w:szCs w:val="28"/>
        </w:rPr>
        <w:t>тронной почт</w:t>
      </w:r>
      <w:r w:rsidR="00C47AAF">
        <w:rPr>
          <w:rFonts w:ascii="Times New Roman" w:hAnsi="Times New Roman" w:cs="Times New Roman"/>
          <w:sz w:val="28"/>
          <w:szCs w:val="28"/>
        </w:rPr>
        <w:t>е</w:t>
      </w:r>
      <w:r w:rsidR="004A5B48">
        <w:rPr>
          <w:rFonts w:ascii="Times New Roman" w:hAnsi="Times New Roman" w:cs="Times New Roman"/>
          <w:sz w:val="28"/>
          <w:szCs w:val="28"/>
        </w:rPr>
        <w:t xml:space="preserve"> </w:t>
      </w:r>
      <w:r w:rsidR="00C47AAF">
        <w:rPr>
          <w:rFonts w:ascii="Times New Roman" w:hAnsi="Times New Roman" w:cs="Times New Roman"/>
          <w:sz w:val="28"/>
          <w:szCs w:val="28"/>
        </w:rPr>
        <w:t>(</w:t>
      </w:r>
      <w:r w:rsidR="004A5B48">
        <w:rPr>
          <w:rFonts w:ascii="Times New Roman" w:hAnsi="Times New Roman" w:cs="Times New Roman"/>
          <w:sz w:val="28"/>
          <w:szCs w:val="28"/>
        </w:rPr>
        <w:t xml:space="preserve">до </w:t>
      </w:r>
      <w:r w:rsidR="00D55027">
        <w:rPr>
          <w:rFonts w:ascii="Times New Roman" w:hAnsi="Times New Roman" w:cs="Times New Roman"/>
          <w:sz w:val="28"/>
          <w:szCs w:val="28"/>
        </w:rPr>
        <w:t>30.03.2025</w:t>
      </w:r>
      <w:r w:rsidR="00C47AAF">
        <w:rPr>
          <w:rFonts w:ascii="Times New Roman" w:hAnsi="Times New Roman" w:cs="Times New Roman"/>
          <w:sz w:val="28"/>
          <w:szCs w:val="28"/>
        </w:rPr>
        <w:t>)</w:t>
      </w:r>
      <w:r w:rsidR="004A5B48">
        <w:rPr>
          <w:rFonts w:ascii="Times New Roman" w:hAnsi="Times New Roman" w:cs="Times New Roman"/>
          <w:sz w:val="28"/>
          <w:szCs w:val="28"/>
        </w:rPr>
        <w:t>.</w:t>
      </w:r>
    </w:p>
    <w:p w:rsidR="004A5B48" w:rsidRDefault="00952A15" w:rsidP="004A5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15">
        <w:rPr>
          <w:rFonts w:ascii="Times New Roman" w:hAnsi="Times New Roman" w:cs="Times New Roman"/>
          <w:sz w:val="28"/>
          <w:szCs w:val="28"/>
        </w:rPr>
        <w:t>В соответствии с изменениями, внес</w:t>
      </w:r>
      <w:r w:rsidR="00B33D69">
        <w:rPr>
          <w:rFonts w:ascii="Times New Roman" w:hAnsi="Times New Roman" w:cs="Times New Roman"/>
          <w:sz w:val="28"/>
          <w:szCs w:val="28"/>
        </w:rPr>
        <w:t>е</w:t>
      </w:r>
      <w:r w:rsidRPr="00952A15">
        <w:rPr>
          <w:rFonts w:ascii="Times New Roman" w:hAnsi="Times New Roman" w:cs="Times New Roman"/>
          <w:sz w:val="28"/>
          <w:szCs w:val="28"/>
        </w:rPr>
        <w:t xml:space="preserve">нными в </w:t>
      </w:r>
      <w:r w:rsidR="00A36A87" w:rsidRPr="00A36A8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36A87">
        <w:rPr>
          <w:rFonts w:ascii="Times New Roman" w:hAnsi="Times New Roman" w:cs="Times New Roman"/>
          <w:sz w:val="28"/>
          <w:szCs w:val="28"/>
        </w:rPr>
        <w:t xml:space="preserve">                  № 59-ФЗ</w:t>
      </w:r>
      <w:r w:rsidRPr="00952A15">
        <w:rPr>
          <w:rFonts w:ascii="Times New Roman" w:hAnsi="Times New Roman" w:cs="Times New Roman"/>
          <w:sz w:val="28"/>
          <w:szCs w:val="28"/>
        </w:rPr>
        <w:t xml:space="preserve">, с </w:t>
      </w:r>
      <w:r w:rsidR="00E43812">
        <w:rPr>
          <w:rFonts w:ascii="Times New Roman" w:hAnsi="Times New Roman" w:cs="Times New Roman"/>
          <w:sz w:val="28"/>
          <w:szCs w:val="28"/>
        </w:rPr>
        <w:t>30.03.2025</w:t>
      </w:r>
      <w:r w:rsidRPr="00952A15">
        <w:rPr>
          <w:rFonts w:ascii="Times New Roman" w:hAnsi="Times New Roman" w:cs="Times New Roman"/>
          <w:sz w:val="28"/>
          <w:szCs w:val="28"/>
        </w:rPr>
        <w:t xml:space="preserve"> обращения граждан в форме электронного документа направляются с использованием федеральной государственной информационной системы «Единый портал государственных и</w:t>
      </w:r>
      <w:r w:rsidR="00A372B4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</w:t>
      </w:r>
      <w:r w:rsidRPr="00952A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обеспечивающ</w:t>
      </w:r>
      <w:r w:rsidR="00A372B4">
        <w:rPr>
          <w:rFonts w:ascii="Times New Roman" w:hAnsi="Times New Roman" w:cs="Times New Roman"/>
          <w:sz w:val="28"/>
          <w:szCs w:val="28"/>
        </w:rPr>
        <w:t>ей</w:t>
      </w:r>
      <w:r w:rsidRPr="00952A15">
        <w:rPr>
          <w:rFonts w:ascii="Times New Roman" w:hAnsi="Times New Roman" w:cs="Times New Roman"/>
          <w:sz w:val="28"/>
          <w:szCs w:val="28"/>
        </w:rPr>
        <w:t xml:space="preserve"> идентификацию и (или) аутентификацию граждан. </w:t>
      </w:r>
    </w:p>
    <w:p w:rsidR="00952A15" w:rsidRPr="00952A15" w:rsidRDefault="00952A15" w:rsidP="004A5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15">
        <w:rPr>
          <w:rFonts w:ascii="Times New Roman" w:hAnsi="Times New Roman" w:cs="Times New Roman"/>
          <w:sz w:val="28"/>
          <w:szCs w:val="28"/>
        </w:rPr>
        <w:t>Направление гражданином обращения на адрес электронной почты</w:t>
      </w:r>
      <w:r w:rsidR="004A5B48">
        <w:rPr>
          <w:rFonts w:ascii="Times New Roman" w:hAnsi="Times New Roman" w:cs="Times New Roman"/>
          <w:sz w:val="28"/>
          <w:szCs w:val="28"/>
        </w:rPr>
        <w:t xml:space="preserve"> Верховного Совета</w:t>
      </w:r>
      <w:r w:rsidRPr="00952A15">
        <w:rPr>
          <w:rFonts w:ascii="Times New Roman" w:hAnsi="Times New Roman" w:cs="Times New Roman"/>
          <w:sz w:val="28"/>
          <w:szCs w:val="28"/>
        </w:rPr>
        <w:t xml:space="preserve"> Федеральным законом № 59-ФЗ больше не предусмотрено.</w:t>
      </w:r>
    </w:p>
    <w:p w:rsidR="00952A15" w:rsidRPr="00952A15" w:rsidRDefault="00952A15" w:rsidP="004A5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A15">
        <w:rPr>
          <w:rFonts w:ascii="Times New Roman" w:hAnsi="Times New Roman" w:cs="Times New Roman"/>
          <w:sz w:val="28"/>
          <w:szCs w:val="28"/>
        </w:rPr>
        <w:t xml:space="preserve">Таким образом, с </w:t>
      </w:r>
      <w:r w:rsidR="00B55E3D">
        <w:rPr>
          <w:rFonts w:ascii="Times New Roman" w:hAnsi="Times New Roman" w:cs="Times New Roman"/>
          <w:sz w:val="28"/>
          <w:szCs w:val="28"/>
        </w:rPr>
        <w:t>30.03.2025</w:t>
      </w:r>
      <w:r w:rsidR="004A5B48">
        <w:rPr>
          <w:rFonts w:ascii="Times New Roman" w:hAnsi="Times New Roman" w:cs="Times New Roman"/>
          <w:sz w:val="28"/>
          <w:szCs w:val="28"/>
        </w:rPr>
        <w:t xml:space="preserve"> направление обращений</w:t>
      </w:r>
      <w:r w:rsidRPr="00952A1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Верховный Совет </w:t>
      </w:r>
      <w:r w:rsidR="004A5B48">
        <w:rPr>
          <w:rFonts w:ascii="Times New Roman" w:hAnsi="Times New Roman" w:cs="Times New Roman"/>
          <w:sz w:val="28"/>
          <w:szCs w:val="28"/>
        </w:rPr>
        <w:t>осуществляется</w:t>
      </w:r>
      <w:r w:rsidRPr="00952A15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CF2CB5">
        <w:rPr>
          <w:rFonts w:ascii="Times New Roman" w:hAnsi="Times New Roman" w:cs="Times New Roman"/>
          <w:sz w:val="28"/>
          <w:szCs w:val="28"/>
        </w:rPr>
        <w:t>П</w:t>
      </w:r>
      <w:r w:rsidRPr="00952A15">
        <w:rPr>
          <w:rFonts w:ascii="Times New Roman" w:hAnsi="Times New Roman" w:cs="Times New Roman"/>
          <w:sz w:val="28"/>
          <w:szCs w:val="28"/>
        </w:rPr>
        <w:t xml:space="preserve">латформы обратной связи федеральной государственной информационной </w:t>
      </w:r>
      <w:r w:rsidRPr="00952A15">
        <w:rPr>
          <w:rFonts w:ascii="Times New Roman" w:hAnsi="Times New Roman" w:cs="Times New Roman"/>
          <w:sz w:val="28"/>
          <w:szCs w:val="28"/>
        </w:rPr>
        <w:lastRenderedPageBreak/>
        <w:t>системы «Единый портал государственных и муниципальных услуг (функций)»</w:t>
      </w:r>
      <w:r w:rsidR="00AC4E8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F182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C4E85">
        <w:rPr>
          <w:rFonts w:ascii="Times New Roman" w:hAnsi="Times New Roman" w:cs="Times New Roman"/>
          <w:sz w:val="28"/>
          <w:szCs w:val="28"/>
        </w:rPr>
        <w:t xml:space="preserve"> – Платформа обратной связи</w:t>
      </w:r>
      <w:r w:rsidR="007F1823">
        <w:rPr>
          <w:rFonts w:ascii="Times New Roman" w:hAnsi="Times New Roman" w:cs="Times New Roman"/>
          <w:sz w:val="28"/>
          <w:szCs w:val="28"/>
        </w:rPr>
        <w:t>, ПОС</w:t>
      </w:r>
      <w:r w:rsidR="00AC4E85">
        <w:rPr>
          <w:rFonts w:ascii="Times New Roman" w:hAnsi="Times New Roman" w:cs="Times New Roman"/>
          <w:sz w:val="28"/>
          <w:szCs w:val="28"/>
        </w:rPr>
        <w:t>)</w:t>
      </w:r>
      <w:r w:rsidR="00E91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A15" w:rsidRPr="00D84372" w:rsidRDefault="007B1D16" w:rsidP="004A5B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поступления обращений в Верховный Совет</w:t>
      </w:r>
      <w:r w:rsidR="00E9165B">
        <w:rPr>
          <w:rFonts w:ascii="Times New Roman" w:hAnsi="Times New Roman" w:cs="Times New Roman"/>
          <w:sz w:val="28"/>
          <w:szCs w:val="28"/>
        </w:rPr>
        <w:t xml:space="preserve"> в 2025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78FA" w:rsidRPr="006B37B0" w:rsidRDefault="007B1D16" w:rsidP="00FE78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105</w:t>
      </w:r>
      <w:r w:rsidR="00FE78FA" w:rsidRPr="006B3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41,2</w:t>
      </w:r>
      <w:r w:rsidR="00FE78FA" w:rsidRPr="006B37B0">
        <w:rPr>
          <w:rFonts w:ascii="Times New Roman" w:hAnsi="Times New Roman" w:cs="Times New Roman"/>
          <w:sz w:val="28"/>
          <w:szCs w:val="28"/>
        </w:rPr>
        <w:t xml:space="preserve"> %) обращений доставлено лично</w:t>
      </w:r>
      <w:r w:rsidR="00E9165B">
        <w:rPr>
          <w:rFonts w:ascii="Times New Roman" w:hAnsi="Times New Roman" w:cs="Times New Roman"/>
          <w:sz w:val="28"/>
          <w:szCs w:val="28"/>
        </w:rPr>
        <w:t>;</w:t>
      </w:r>
    </w:p>
    <w:p w:rsidR="00FE78FA" w:rsidRPr="006B37B0" w:rsidRDefault="007B1D16" w:rsidP="00FE78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</w:t>
      </w:r>
      <w:r w:rsidR="00FE78FA" w:rsidRPr="006B3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8FA" w:rsidRPr="006B37B0">
        <w:rPr>
          <w:rFonts w:ascii="Times New Roman" w:hAnsi="Times New Roman" w:cs="Times New Roman"/>
          <w:sz w:val="28"/>
          <w:szCs w:val="28"/>
        </w:rPr>
        <w:t>(</w:t>
      </w:r>
      <w:r w:rsidRPr="007B1D16">
        <w:rPr>
          <w:rFonts w:ascii="Times New Roman" w:hAnsi="Times New Roman" w:cs="Times New Roman"/>
          <w:sz w:val="28"/>
          <w:szCs w:val="28"/>
        </w:rPr>
        <w:t>27,8</w:t>
      </w:r>
      <w:r w:rsidR="00FE78FA" w:rsidRPr="006B37B0">
        <w:rPr>
          <w:rFonts w:ascii="Times New Roman" w:hAnsi="Times New Roman" w:cs="Times New Roman"/>
          <w:sz w:val="28"/>
          <w:szCs w:val="28"/>
        </w:rPr>
        <w:t xml:space="preserve"> %) доставлено почтой </w:t>
      </w:r>
      <w:r w:rsidR="00AC4E85">
        <w:rPr>
          <w:rFonts w:ascii="Times New Roman" w:hAnsi="Times New Roman" w:cs="Times New Roman"/>
          <w:sz w:val="28"/>
          <w:szCs w:val="28"/>
        </w:rPr>
        <w:t>России</w:t>
      </w:r>
      <w:r w:rsidR="00FE78FA" w:rsidRPr="006B37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0B17" w:rsidRDefault="007B1D16" w:rsidP="00B60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</w:t>
      </w:r>
      <w:r w:rsidR="00FE78FA" w:rsidRPr="006B37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31</w:t>
      </w:r>
      <w:r w:rsidR="00FE78FA" w:rsidRPr="006B37B0">
        <w:rPr>
          <w:rFonts w:ascii="Times New Roman" w:hAnsi="Times New Roman" w:cs="Times New Roman"/>
          <w:sz w:val="28"/>
          <w:szCs w:val="28"/>
        </w:rPr>
        <w:t>%) по</w:t>
      </w:r>
      <w:r w:rsidR="00FE78FA" w:rsidRPr="00D84372">
        <w:rPr>
          <w:rFonts w:ascii="Times New Roman" w:hAnsi="Times New Roman" w:cs="Times New Roman"/>
          <w:sz w:val="28"/>
          <w:szCs w:val="28"/>
        </w:rPr>
        <w:t>ступили через интернет-приемную, электронную почту Верховного Совета</w:t>
      </w:r>
      <w:r w:rsidR="00E916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 30.03.2025), </w:t>
      </w:r>
      <w:r w:rsidR="00AC4E85">
        <w:rPr>
          <w:rFonts w:ascii="Times New Roman" w:hAnsi="Times New Roman" w:cs="Times New Roman"/>
          <w:sz w:val="28"/>
          <w:szCs w:val="28"/>
        </w:rPr>
        <w:t xml:space="preserve">а </w:t>
      </w:r>
      <w:r w:rsidR="00B60B17">
        <w:rPr>
          <w:rFonts w:ascii="Times New Roman" w:hAnsi="Times New Roman" w:cs="Times New Roman"/>
          <w:sz w:val="28"/>
          <w:szCs w:val="28"/>
        </w:rPr>
        <w:t>с 30.03.2025</w:t>
      </w:r>
      <w:r w:rsidR="00AC4E85">
        <w:rPr>
          <w:rFonts w:ascii="Times New Roman" w:hAnsi="Times New Roman" w:cs="Times New Roman"/>
          <w:sz w:val="28"/>
          <w:szCs w:val="28"/>
        </w:rPr>
        <w:t xml:space="preserve"> –</w:t>
      </w:r>
      <w:r w:rsidR="00B60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C4E85" w:rsidRPr="00AC4E85">
        <w:rPr>
          <w:rFonts w:ascii="Times New Roman" w:hAnsi="Times New Roman" w:cs="Times New Roman"/>
          <w:sz w:val="28"/>
          <w:szCs w:val="28"/>
        </w:rPr>
        <w:t>Платформ</w:t>
      </w:r>
      <w:r w:rsidR="00AC4E85">
        <w:rPr>
          <w:rFonts w:ascii="Times New Roman" w:hAnsi="Times New Roman" w:cs="Times New Roman"/>
          <w:sz w:val="28"/>
          <w:szCs w:val="28"/>
        </w:rPr>
        <w:t>у</w:t>
      </w:r>
      <w:r w:rsidR="00AC4E85" w:rsidRPr="00AC4E85">
        <w:rPr>
          <w:rFonts w:ascii="Times New Roman" w:hAnsi="Times New Roman" w:cs="Times New Roman"/>
          <w:sz w:val="28"/>
          <w:szCs w:val="28"/>
        </w:rPr>
        <w:t xml:space="preserve"> обратной связи</w:t>
      </w:r>
      <w:r w:rsidR="00E9165B">
        <w:rPr>
          <w:rFonts w:ascii="Times New Roman" w:hAnsi="Times New Roman" w:cs="Times New Roman"/>
          <w:sz w:val="28"/>
          <w:szCs w:val="28"/>
        </w:rPr>
        <w:t>.</w:t>
      </w:r>
    </w:p>
    <w:p w:rsidR="00B60B17" w:rsidRDefault="00B60B17" w:rsidP="00B60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Обращения граждан, поступившие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D84372">
        <w:rPr>
          <w:rFonts w:ascii="Times New Roman" w:hAnsi="Times New Roman" w:cs="Times New Roman"/>
          <w:sz w:val="28"/>
          <w:szCs w:val="28"/>
        </w:rPr>
        <w:t xml:space="preserve">, составляют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84372">
        <w:rPr>
          <w:rFonts w:ascii="Times New Roman" w:hAnsi="Times New Roman" w:cs="Times New Roman"/>
          <w:sz w:val="28"/>
          <w:szCs w:val="28"/>
        </w:rPr>
        <w:t xml:space="preserve"> %, что свидетельствует об активном использовании гражданами информационных возможностей.</w:t>
      </w:r>
    </w:p>
    <w:p w:rsidR="00E9165B" w:rsidRPr="00D84372" w:rsidRDefault="00E9165B" w:rsidP="00E91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снятия ограничительных мер, введенных </w:t>
      </w:r>
      <w:r w:rsidR="00DF4396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корон</w:t>
      </w:r>
      <w:r w:rsidR="00DF43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вирусной инфекции, </w:t>
      </w:r>
      <w:r w:rsidR="008C53AF" w:rsidRPr="008C53AF">
        <w:rPr>
          <w:rFonts w:ascii="Times New Roman" w:hAnsi="Times New Roman" w:cs="Times New Roman"/>
          <w:sz w:val="28"/>
          <w:szCs w:val="28"/>
        </w:rPr>
        <w:t>в 2025 году, как и в 2024 году</w:t>
      </w:r>
      <w:r w:rsidR="008C53AF">
        <w:rPr>
          <w:rFonts w:ascii="Times New Roman" w:hAnsi="Times New Roman" w:cs="Times New Roman"/>
          <w:sz w:val="28"/>
          <w:szCs w:val="28"/>
        </w:rPr>
        <w:t xml:space="preserve">, </w:t>
      </w:r>
      <w:r w:rsidRPr="00181DF7">
        <w:rPr>
          <w:rFonts w:ascii="Times New Roman" w:hAnsi="Times New Roman" w:cs="Times New Roman"/>
          <w:sz w:val="28"/>
          <w:szCs w:val="28"/>
        </w:rPr>
        <w:t>отмеча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181DF7">
        <w:rPr>
          <w:rFonts w:ascii="Times New Roman" w:hAnsi="Times New Roman" w:cs="Times New Roman"/>
          <w:sz w:val="28"/>
          <w:szCs w:val="28"/>
        </w:rPr>
        <w:t xml:space="preserve"> увеличение количества лично обратившихся граждан – </w:t>
      </w:r>
      <w:r>
        <w:rPr>
          <w:rFonts w:ascii="Times New Roman" w:hAnsi="Times New Roman" w:cs="Times New Roman"/>
          <w:sz w:val="28"/>
          <w:szCs w:val="28"/>
        </w:rPr>
        <w:t>105.</w:t>
      </w:r>
    </w:p>
    <w:p w:rsidR="007B1D16" w:rsidRDefault="007B1D16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8117F3" wp14:editId="208085A5">
            <wp:extent cx="5486400" cy="3200400"/>
            <wp:effectExtent l="3810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FE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Default="00FE78FA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E7D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количество коллективных обращений граждан по сравнению с 202</w:t>
      </w:r>
      <w:r w:rsidR="00FE7D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516620">
        <w:rPr>
          <w:rFonts w:ascii="Times New Roman" w:hAnsi="Times New Roman" w:cs="Times New Roman"/>
          <w:sz w:val="28"/>
          <w:szCs w:val="28"/>
        </w:rPr>
        <w:t>увеличилось: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FE7D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B60B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DAA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коллективных обращения, в 202</w:t>
      </w:r>
      <w:r w:rsidR="00FE7D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620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42E75">
        <w:rPr>
          <w:rFonts w:ascii="Times New Roman" w:hAnsi="Times New Roman" w:cs="Times New Roman"/>
          <w:sz w:val="28"/>
          <w:szCs w:val="28"/>
        </w:rPr>
        <w:t>52</w:t>
      </w:r>
      <w:r w:rsidR="00D402B4">
        <w:rPr>
          <w:rFonts w:ascii="Times New Roman" w:hAnsi="Times New Roman" w:cs="Times New Roman"/>
          <w:sz w:val="28"/>
          <w:szCs w:val="28"/>
        </w:rPr>
        <w:t>, что свидетельствует о консолидации гражданского общества.</w:t>
      </w:r>
    </w:p>
    <w:p w:rsidR="00FE78FA" w:rsidRDefault="00FE78FA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8647" w:type="dxa"/>
        <w:tblInd w:w="675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FE78FA" w:rsidTr="00172F5C">
        <w:tc>
          <w:tcPr>
            <w:tcW w:w="1701" w:type="dxa"/>
          </w:tcPr>
          <w:p w:rsidR="00FE78FA" w:rsidRDefault="00FE78FA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E78FA" w:rsidRDefault="00FE78FA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поступивших коллективных обращений </w:t>
            </w:r>
          </w:p>
        </w:tc>
      </w:tr>
      <w:tr w:rsidR="00FE78FA" w:rsidTr="00172F5C">
        <w:tc>
          <w:tcPr>
            <w:tcW w:w="1701" w:type="dxa"/>
          </w:tcPr>
          <w:p w:rsidR="00FE78FA" w:rsidRDefault="00FE78FA" w:rsidP="00FE7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FE78FA" w:rsidRDefault="00FE7DAA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E78FA" w:rsidTr="00172F5C">
        <w:tc>
          <w:tcPr>
            <w:tcW w:w="1701" w:type="dxa"/>
          </w:tcPr>
          <w:p w:rsidR="00FE78FA" w:rsidRDefault="00FE7DAA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946" w:type="dxa"/>
          </w:tcPr>
          <w:p w:rsidR="00FE78FA" w:rsidRDefault="00142E75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FE78FA" w:rsidRDefault="00FE78FA" w:rsidP="00FE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B17" w:rsidRDefault="00B60B17" w:rsidP="00FE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0B17" w:rsidRPr="00D84372" w:rsidRDefault="00B60B17" w:rsidP="00FE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8FA" w:rsidRPr="00D84372" w:rsidRDefault="00FE78FA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Обращения поступают как из городов и районов Республики Хакасия, так и из других регионов Российской Федерации.</w:t>
      </w:r>
    </w:p>
    <w:p w:rsidR="00FE78FA" w:rsidRPr="00625F07" w:rsidRDefault="00FE78FA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0C4">
        <w:rPr>
          <w:rFonts w:ascii="Times New Roman" w:hAnsi="Times New Roman" w:cs="Times New Roman"/>
          <w:sz w:val="28"/>
          <w:szCs w:val="28"/>
        </w:rPr>
        <w:t>В 202</w:t>
      </w:r>
      <w:r w:rsidR="00142E75">
        <w:rPr>
          <w:rFonts w:ascii="Times New Roman" w:hAnsi="Times New Roman" w:cs="Times New Roman"/>
          <w:sz w:val="28"/>
          <w:szCs w:val="28"/>
        </w:rPr>
        <w:t>5</w:t>
      </w:r>
      <w:r w:rsidRPr="00B730C4">
        <w:rPr>
          <w:rFonts w:ascii="Times New Roman" w:hAnsi="Times New Roman" w:cs="Times New Roman"/>
          <w:sz w:val="28"/>
          <w:szCs w:val="28"/>
        </w:rPr>
        <w:t xml:space="preserve"> году большинство составили обращения, поступившие из городов и районов Республики Хакасия</w:t>
      </w:r>
      <w:r w:rsidR="00376636">
        <w:rPr>
          <w:rFonts w:ascii="Times New Roman" w:hAnsi="Times New Roman" w:cs="Times New Roman"/>
          <w:sz w:val="28"/>
          <w:szCs w:val="28"/>
        </w:rPr>
        <w:t>,</w:t>
      </w:r>
      <w:r w:rsidRPr="00B730C4">
        <w:rPr>
          <w:rFonts w:ascii="Times New Roman" w:hAnsi="Times New Roman" w:cs="Times New Roman"/>
          <w:sz w:val="28"/>
          <w:szCs w:val="28"/>
        </w:rPr>
        <w:t xml:space="preserve"> – </w:t>
      </w:r>
      <w:r w:rsidRPr="00B468F9">
        <w:rPr>
          <w:rFonts w:ascii="Times New Roman" w:hAnsi="Times New Roman" w:cs="Times New Roman"/>
          <w:b/>
          <w:sz w:val="28"/>
          <w:szCs w:val="28"/>
        </w:rPr>
        <w:t>2</w:t>
      </w:r>
      <w:r w:rsidR="00172F5C" w:rsidRPr="00B468F9">
        <w:rPr>
          <w:rFonts w:ascii="Times New Roman" w:hAnsi="Times New Roman" w:cs="Times New Roman"/>
          <w:b/>
          <w:sz w:val="28"/>
          <w:szCs w:val="28"/>
        </w:rPr>
        <w:t>22</w:t>
      </w:r>
      <w:r w:rsidRPr="00B73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F5C">
        <w:rPr>
          <w:rFonts w:ascii="Times New Roman" w:hAnsi="Times New Roman" w:cs="Times New Roman"/>
          <w:sz w:val="28"/>
          <w:szCs w:val="28"/>
        </w:rPr>
        <w:t>обращения</w:t>
      </w:r>
      <w:r w:rsidRPr="00625F07">
        <w:rPr>
          <w:rFonts w:ascii="Times New Roman" w:hAnsi="Times New Roman" w:cs="Times New Roman"/>
          <w:sz w:val="28"/>
          <w:szCs w:val="28"/>
        </w:rPr>
        <w:t xml:space="preserve">. Наибольшее количество обращений поступило из городов Республики Хакасия: </w:t>
      </w:r>
      <w:r w:rsidR="003766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5F07">
        <w:rPr>
          <w:rFonts w:ascii="Times New Roman" w:hAnsi="Times New Roman" w:cs="Times New Roman"/>
          <w:sz w:val="28"/>
          <w:szCs w:val="28"/>
        </w:rPr>
        <w:t xml:space="preserve">г. Абакана – </w:t>
      </w:r>
      <w:r w:rsidRPr="00B468F9">
        <w:rPr>
          <w:rFonts w:ascii="Times New Roman" w:hAnsi="Times New Roman" w:cs="Times New Roman"/>
          <w:b/>
          <w:sz w:val="28"/>
          <w:szCs w:val="28"/>
        </w:rPr>
        <w:t>1</w:t>
      </w:r>
      <w:r w:rsidR="00172F5C" w:rsidRPr="00B468F9">
        <w:rPr>
          <w:rFonts w:ascii="Times New Roman" w:hAnsi="Times New Roman" w:cs="Times New Roman"/>
          <w:b/>
          <w:sz w:val="28"/>
          <w:szCs w:val="28"/>
        </w:rPr>
        <w:t>22</w:t>
      </w:r>
      <w:r w:rsidRPr="00625F07">
        <w:rPr>
          <w:rFonts w:ascii="Times New Roman" w:hAnsi="Times New Roman" w:cs="Times New Roman"/>
          <w:sz w:val="28"/>
          <w:szCs w:val="28"/>
        </w:rPr>
        <w:t xml:space="preserve"> об</w:t>
      </w:r>
      <w:r w:rsidR="00376636">
        <w:rPr>
          <w:rFonts w:ascii="Times New Roman" w:hAnsi="Times New Roman" w:cs="Times New Roman"/>
          <w:sz w:val="28"/>
          <w:szCs w:val="28"/>
        </w:rPr>
        <w:t>ращения,</w:t>
      </w:r>
      <w:r w:rsidR="00B468F9">
        <w:rPr>
          <w:rFonts w:ascii="Times New Roman" w:hAnsi="Times New Roman" w:cs="Times New Roman"/>
          <w:sz w:val="28"/>
          <w:szCs w:val="28"/>
        </w:rPr>
        <w:t xml:space="preserve"> г. Черногорска</w:t>
      </w:r>
      <w:r w:rsidR="00376636">
        <w:rPr>
          <w:rFonts w:ascii="Times New Roman" w:hAnsi="Times New Roman" w:cs="Times New Roman"/>
          <w:sz w:val="28"/>
          <w:szCs w:val="28"/>
        </w:rPr>
        <w:t xml:space="preserve"> и</w:t>
      </w:r>
      <w:r w:rsidRPr="00625F07">
        <w:rPr>
          <w:rFonts w:ascii="Times New Roman" w:hAnsi="Times New Roman" w:cs="Times New Roman"/>
          <w:sz w:val="28"/>
          <w:szCs w:val="28"/>
        </w:rPr>
        <w:t xml:space="preserve"> г. Саяногорска</w:t>
      </w:r>
      <w:r w:rsidR="00376636">
        <w:rPr>
          <w:rFonts w:ascii="Times New Roman" w:hAnsi="Times New Roman" w:cs="Times New Roman"/>
          <w:sz w:val="28"/>
          <w:szCs w:val="28"/>
        </w:rPr>
        <w:t xml:space="preserve"> –</w:t>
      </w:r>
      <w:r w:rsidRPr="00625F07">
        <w:rPr>
          <w:rFonts w:ascii="Times New Roman" w:hAnsi="Times New Roman" w:cs="Times New Roman"/>
          <w:sz w:val="28"/>
          <w:szCs w:val="28"/>
        </w:rPr>
        <w:t xml:space="preserve"> </w:t>
      </w:r>
      <w:r w:rsidR="00B468F9">
        <w:rPr>
          <w:rFonts w:ascii="Times New Roman" w:hAnsi="Times New Roman" w:cs="Times New Roman"/>
          <w:sz w:val="28"/>
          <w:szCs w:val="28"/>
        </w:rPr>
        <w:t xml:space="preserve">по </w:t>
      </w:r>
      <w:r w:rsidR="00B468F9" w:rsidRPr="00B468F9">
        <w:rPr>
          <w:rFonts w:ascii="Times New Roman" w:hAnsi="Times New Roman" w:cs="Times New Roman"/>
          <w:b/>
          <w:sz w:val="28"/>
          <w:szCs w:val="28"/>
        </w:rPr>
        <w:t>19</w:t>
      </w:r>
      <w:r w:rsidR="00B468F9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FE78FA" w:rsidRPr="00625F07" w:rsidRDefault="00674890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>По итогам анализа обращений граждан из районов Республики Хакасия</w:t>
      </w:r>
      <w:r w:rsidR="00FE78FA" w:rsidRPr="00625F07">
        <w:rPr>
          <w:rFonts w:ascii="Times New Roman" w:hAnsi="Times New Roman" w:cs="Times New Roman"/>
          <w:sz w:val="28"/>
          <w:szCs w:val="28"/>
        </w:rPr>
        <w:t xml:space="preserve"> наибольшее </w:t>
      </w:r>
      <w:r w:rsidR="00FE638C">
        <w:rPr>
          <w:rFonts w:ascii="Times New Roman" w:hAnsi="Times New Roman" w:cs="Times New Roman"/>
          <w:sz w:val="28"/>
          <w:szCs w:val="28"/>
        </w:rPr>
        <w:t>их количество</w:t>
      </w:r>
      <w:r w:rsidR="00FE78FA" w:rsidRPr="00625F07">
        <w:rPr>
          <w:rFonts w:ascii="Times New Roman" w:hAnsi="Times New Roman" w:cs="Times New Roman"/>
          <w:sz w:val="28"/>
          <w:szCs w:val="28"/>
        </w:rPr>
        <w:t xml:space="preserve"> поступило из </w:t>
      </w:r>
      <w:r w:rsidR="00B468F9">
        <w:rPr>
          <w:rFonts w:ascii="Times New Roman" w:hAnsi="Times New Roman" w:cs="Times New Roman"/>
          <w:sz w:val="28"/>
          <w:szCs w:val="28"/>
        </w:rPr>
        <w:t>Ширинского</w:t>
      </w:r>
      <w:r w:rsidR="00FE78FA" w:rsidRPr="00625F07">
        <w:rPr>
          <w:rFonts w:ascii="Times New Roman" w:hAnsi="Times New Roman" w:cs="Times New Roman"/>
          <w:sz w:val="28"/>
          <w:szCs w:val="28"/>
        </w:rPr>
        <w:t xml:space="preserve"> района – </w:t>
      </w:r>
      <w:r w:rsidR="00B468F9" w:rsidRPr="00B468F9">
        <w:rPr>
          <w:rFonts w:ascii="Times New Roman" w:hAnsi="Times New Roman" w:cs="Times New Roman"/>
          <w:b/>
          <w:sz w:val="28"/>
          <w:szCs w:val="28"/>
        </w:rPr>
        <w:t>12</w:t>
      </w:r>
      <w:r w:rsidR="00B46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8FA" w:rsidRPr="00625F07">
        <w:rPr>
          <w:rFonts w:ascii="Times New Roman" w:hAnsi="Times New Roman" w:cs="Times New Roman"/>
          <w:sz w:val="28"/>
          <w:szCs w:val="28"/>
        </w:rPr>
        <w:t>обращений (</w:t>
      </w:r>
      <w:r w:rsidR="00B468F9">
        <w:rPr>
          <w:rFonts w:ascii="Times New Roman" w:hAnsi="Times New Roman" w:cs="Times New Roman"/>
          <w:sz w:val="28"/>
          <w:szCs w:val="28"/>
        </w:rPr>
        <w:t>4,7</w:t>
      </w:r>
      <w:r w:rsidR="00FE78FA" w:rsidRPr="00625F07">
        <w:rPr>
          <w:rFonts w:ascii="Times New Roman" w:hAnsi="Times New Roman" w:cs="Times New Roman"/>
          <w:sz w:val="28"/>
          <w:szCs w:val="28"/>
        </w:rPr>
        <w:t>% от общего числа</w:t>
      </w:r>
      <w:r w:rsidR="00B468F9">
        <w:rPr>
          <w:rFonts w:ascii="Times New Roman" w:hAnsi="Times New Roman" w:cs="Times New Roman"/>
          <w:sz w:val="28"/>
          <w:szCs w:val="28"/>
        </w:rPr>
        <w:t xml:space="preserve">), Усть-Абаканского района – </w:t>
      </w:r>
      <w:r w:rsidR="00B468F9" w:rsidRPr="00B468F9">
        <w:rPr>
          <w:rFonts w:ascii="Times New Roman" w:hAnsi="Times New Roman" w:cs="Times New Roman"/>
          <w:b/>
          <w:sz w:val="28"/>
          <w:szCs w:val="28"/>
        </w:rPr>
        <w:t>10</w:t>
      </w:r>
      <w:r w:rsidR="00B468F9">
        <w:rPr>
          <w:rFonts w:ascii="Times New Roman" w:hAnsi="Times New Roman" w:cs="Times New Roman"/>
          <w:sz w:val="28"/>
          <w:szCs w:val="28"/>
        </w:rPr>
        <w:t xml:space="preserve"> обращений (3,9% </w:t>
      </w:r>
      <w:r w:rsidR="00B468F9" w:rsidRPr="00625F07">
        <w:rPr>
          <w:rFonts w:ascii="Times New Roman" w:hAnsi="Times New Roman" w:cs="Times New Roman"/>
          <w:sz w:val="28"/>
          <w:szCs w:val="28"/>
        </w:rPr>
        <w:t>от общего числа</w:t>
      </w:r>
      <w:r w:rsidR="00B468F9">
        <w:rPr>
          <w:rFonts w:ascii="Times New Roman" w:hAnsi="Times New Roman" w:cs="Times New Roman"/>
          <w:sz w:val="28"/>
          <w:szCs w:val="28"/>
        </w:rPr>
        <w:t>).</w:t>
      </w:r>
    </w:p>
    <w:p w:rsidR="00E9165B" w:rsidRDefault="00841319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FE78FA" w:rsidRPr="00625F07">
        <w:rPr>
          <w:rFonts w:ascii="Times New Roman" w:hAnsi="Times New Roman" w:cs="Times New Roman"/>
          <w:sz w:val="28"/>
          <w:szCs w:val="28"/>
        </w:rPr>
        <w:t xml:space="preserve"> поступали обращения из других регионов Российской Федерации (г. Москва, г. </w:t>
      </w:r>
      <w:r w:rsidR="00E9165B">
        <w:rPr>
          <w:rFonts w:ascii="Times New Roman" w:hAnsi="Times New Roman" w:cs="Times New Roman"/>
          <w:sz w:val="28"/>
          <w:szCs w:val="28"/>
        </w:rPr>
        <w:t xml:space="preserve">Санкт-Петербург, г. Самара, г. Иркутск,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68F9">
        <w:rPr>
          <w:rFonts w:ascii="Times New Roman" w:hAnsi="Times New Roman" w:cs="Times New Roman"/>
          <w:sz w:val="28"/>
          <w:szCs w:val="28"/>
        </w:rPr>
        <w:t xml:space="preserve">г. </w:t>
      </w:r>
      <w:r w:rsidR="00FE78FA" w:rsidRPr="00625F07">
        <w:rPr>
          <w:rFonts w:ascii="Times New Roman" w:hAnsi="Times New Roman" w:cs="Times New Roman"/>
          <w:sz w:val="28"/>
          <w:szCs w:val="28"/>
        </w:rPr>
        <w:t>Красноярск</w:t>
      </w:r>
      <w:r w:rsidR="00B468F9">
        <w:rPr>
          <w:rFonts w:ascii="Times New Roman" w:hAnsi="Times New Roman" w:cs="Times New Roman"/>
          <w:sz w:val="28"/>
          <w:szCs w:val="28"/>
        </w:rPr>
        <w:t xml:space="preserve">, Республика Тыва, Алтайский </w:t>
      </w:r>
      <w:r w:rsidR="00FE78FA" w:rsidRPr="00625F07">
        <w:rPr>
          <w:rFonts w:ascii="Times New Roman" w:hAnsi="Times New Roman" w:cs="Times New Roman"/>
          <w:sz w:val="28"/>
          <w:szCs w:val="28"/>
        </w:rPr>
        <w:t>край, Пензенская об</w:t>
      </w:r>
      <w:r w:rsidR="00E9165B">
        <w:rPr>
          <w:rFonts w:ascii="Times New Roman" w:hAnsi="Times New Roman" w:cs="Times New Roman"/>
          <w:sz w:val="28"/>
          <w:szCs w:val="28"/>
        </w:rPr>
        <w:t xml:space="preserve">ласть </w:t>
      </w:r>
      <w:r w:rsidR="00FE78FA" w:rsidRPr="00625F07">
        <w:rPr>
          <w:rFonts w:ascii="Times New Roman" w:hAnsi="Times New Roman" w:cs="Times New Roman"/>
          <w:sz w:val="28"/>
          <w:szCs w:val="28"/>
        </w:rPr>
        <w:t>и др.)</w:t>
      </w:r>
      <w:r>
        <w:rPr>
          <w:rFonts w:ascii="Times New Roman" w:hAnsi="Times New Roman" w:cs="Times New Roman"/>
          <w:sz w:val="28"/>
          <w:szCs w:val="28"/>
        </w:rPr>
        <w:t>, всего</w:t>
      </w:r>
      <w:r w:rsidR="00FE78FA" w:rsidRPr="00625F07">
        <w:rPr>
          <w:rFonts w:ascii="Times New Roman" w:hAnsi="Times New Roman" w:cs="Times New Roman"/>
          <w:sz w:val="28"/>
          <w:szCs w:val="28"/>
        </w:rPr>
        <w:t xml:space="preserve"> – </w:t>
      </w:r>
      <w:r w:rsidR="00B468F9">
        <w:rPr>
          <w:rFonts w:ascii="Times New Roman" w:hAnsi="Times New Roman" w:cs="Times New Roman"/>
          <w:b/>
          <w:sz w:val="28"/>
          <w:szCs w:val="28"/>
        </w:rPr>
        <w:t>33</w:t>
      </w:r>
      <w:r w:rsidR="00FE78FA" w:rsidRPr="00625F0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468F9">
        <w:rPr>
          <w:rFonts w:ascii="Times New Roman" w:hAnsi="Times New Roman" w:cs="Times New Roman"/>
          <w:sz w:val="28"/>
          <w:szCs w:val="28"/>
        </w:rPr>
        <w:t>я.</w:t>
      </w:r>
    </w:p>
    <w:p w:rsidR="00FE78FA" w:rsidRPr="00D84372" w:rsidRDefault="00FE78FA" w:rsidP="00172F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7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FE78FA" w:rsidRPr="00D84372" w:rsidRDefault="00FE78FA" w:rsidP="00FE78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72">
        <w:rPr>
          <w:rFonts w:ascii="Times New Roman" w:hAnsi="Times New Roman" w:cs="Times New Roman"/>
          <w:b/>
          <w:sz w:val="28"/>
          <w:szCs w:val="28"/>
        </w:rPr>
        <w:t>поступления обращений по муниципальным образованиям Республики Хакасия и другим субъектам Российской Федерации</w:t>
      </w:r>
    </w:p>
    <w:p w:rsidR="00172F5C" w:rsidRPr="00D84372" w:rsidRDefault="00172F5C" w:rsidP="0017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4934"/>
        <w:gridCol w:w="2551"/>
        <w:gridCol w:w="1383"/>
      </w:tblGrid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Абакан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47.8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Абаза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Саяногорск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Сорск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Черногорск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Аскизский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Алтайский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Бейский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2,7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Боградский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Таштыпский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Усть-Абаканский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Ширинский район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34" w:type="dxa"/>
          </w:tcPr>
          <w:p w:rsidR="00172F5C" w:rsidRPr="00D84372" w:rsidRDefault="00172F5C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34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Другие субъекты Российской Федерации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12,9</w:t>
            </w:r>
          </w:p>
        </w:tc>
      </w:tr>
      <w:tr w:rsidR="00172F5C" w:rsidRPr="00D84372" w:rsidTr="00172F5C">
        <w:tc>
          <w:tcPr>
            <w:tcW w:w="703" w:type="dxa"/>
          </w:tcPr>
          <w:p w:rsidR="00172F5C" w:rsidRPr="00D84372" w:rsidRDefault="00172F5C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172F5C" w:rsidRPr="00D84372" w:rsidRDefault="00172F5C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551" w:type="dxa"/>
          </w:tcPr>
          <w:p w:rsidR="00172F5C" w:rsidRPr="00D84372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255</w:t>
            </w:r>
          </w:p>
        </w:tc>
        <w:tc>
          <w:tcPr>
            <w:tcW w:w="1383" w:type="dxa"/>
          </w:tcPr>
          <w:p w:rsidR="00172F5C" w:rsidRDefault="00172F5C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78FA" w:rsidRPr="00B60B17" w:rsidRDefault="00FE78FA" w:rsidP="00FE7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Большинство авторов не указывают свой социальн</w:t>
      </w:r>
      <w:r w:rsidR="00FE638C">
        <w:rPr>
          <w:rFonts w:ascii="Times New Roman" w:hAnsi="Times New Roman" w:cs="Times New Roman"/>
          <w:sz w:val="28"/>
          <w:szCs w:val="28"/>
        </w:rPr>
        <w:t xml:space="preserve">ый статус, но чаще </w:t>
      </w:r>
      <w:r w:rsidR="004A3F0F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E638C">
        <w:rPr>
          <w:rFonts w:ascii="Times New Roman" w:hAnsi="Times New Roman" w:cs="Times New Roman"/>
          <w:sz w:val="28"/>
          <w:szCs w:val="28"/>
        </w:rPr>
        <w:t xml:space="preserve">обращаются </w:t>
      </w:r>
      <w:r w:rsidRPr="00D84372">
        <w:rPr>
          <w:rFonts w:ascii="Times New Roman" w:hAnsi="Times New Roman" w:cs="Times New Roman"/>
          <w:sz w:val="28"/>
          <w:szCs w:val="28"/>
        </w:rPr>
        <w:t xml:space="preserve">пенсионеры, инвалиды, ветераны труда, многодетные семьи, участники специальной </w:t>
      </w:r>
      <w:r w:rsidR="00B60B17">
        <w:rPr>
          <w:rFonts w:ascii="Times New Roman" w:hAnsi="Times New Roman" w:cs="Times New Roman"/>
          <w:sz w:val="28"/>
          <w:szCs w:val="28"/>
        </w:rPr>
        <w:t>военной операции</w:t>
      </w:r>
      <w:r w:rsidR="004A3F0F">
        <w:rPr>
          <w:rFonts w:ascii="Times New Roman" w:hAnsi="Times New Roman" w:cs="Times New Roman"/>
          <w:sz w:val="28"/>
          <w:szCs w:val="28"/>
        </w:rPr>
        <w:t xml:space="preserve"> и</w:t>
      </w:r>
      <w:r w:rsidRPr="00D84372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4A3F0F">
        <w:rPr>
          <w:rFonts w:ascii="Times New Roman" w:hAnsi="Times New Roman" w:cs="Times New Roman"/>
          <w:sz w:val="28"/>
          <w:szCs w:val="28"/>
        </w:rPr>
        <w:t xml:space="preserve"> их</w:t>
      </w:r>
      <w:r w:rsidRPr="00D84372">
        <w:rPr>
          <w:rFonts w:ascii="Times New Roman" w:hAnsi="Times New Roman" w:cs="Times New Roman"/>
          <w:sz w:val="28"/>
          <w:szCs w:val="28"/>
        </w:rPr>
        <w:t xml:space="preserve"> се</w:t>
      </w:r>
      <w:r w:rsidR="00B60B17">
        <w:rPr>
          <w:rFonts w:ascii="Times New Roman" w:hAnsi="Times New Roman" w:cs="Times New Roman"/>
          <w:sz w:val="28"/>
          <w:szCs w:val="28"/>
        </w:rPr>
        <w:t xml:space="preserve">мей, </w:t>
      </w:r>
      <w:r w:rsidR="00B60B17" w:rsidRPr="00B60B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 из числа детей-сирот и детей, оставшихся без попечения родителей, </w:t>
      </w:r>
      <w:r w:rsidR="004A3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B60B17">
        <w:rPr>
          <w:rFonts w:ascii="Times New Roman" w:hAnsi="Times New Roman" w:cs="Times New Roman"/>
          <w:sz w:val="28"/>
          <w:szCs w:val="28"/>
        </w:rPr>
        <w:t>осужденные или заключенные под стражу.</w:t>
      </w:r>
    </w:p>
    <w:p w:rsidR="00FE78FA" w:rsidRPr="00D84372" w:rsidRDefault="00612F1E" w:rsidP="00FE78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F1E">
        <w:rPr>
          <w:rFonts w:ascii="Times New Roman" w:hAnsi="Times New Roman" w:cs="Times New Roman"/>
          <w:sz w:val="28"/>
          <w:szCs w:val="28"/>
        </w:rPr>
        <w:t>В тематическом разрезе за 2024 и 2025 годы актуальными остаются вопросы, связанные с государством, обществом и политикой. Таких обращений было 63, что составляет 24,7%. К ним относятся вопросы совершенствования законодательства, предложения о внесении изменений в законы, обсуждение про</w:t>
      </w:r>
      <w:r>
        <w:rPr>
          <w:rFonts w:ascii="Times New Roman" w:hAnsi="Times New Roman" w:cs="Times New Roman"/>
          <w:sz w:val="28"/>
          <w:szCs w:val="28"/>
        </w:rPr>
        <w:t>ектов федеральных законов, внесе</w:t>
      </w:r>
      <w:r w:rsidRPr="00612F1E">
        <w:rPr>
          <w:rFonts w:ascii="Times New Roman" w:hAnsi="Times New Roman" w:cs="Times New Roman"/>
          <w:sz w:val="28"/>
          <w:szCs w:val="28"/>
        </w:rPr>
        <w:t xml:space="preserve">нных в Государственную Думу Федерального Собрания Российской </w:t>
      </w:r>
      <w:r>
        <w:rPr>
          <w:rFonts w:ascii="Times New Roman" w:hAnsi="Times New Roman" w:cs="Times New Roman"/>
          <w:sz w:val="28"/>
          <w:szCs w:val="28"/>
        </w:rPr>
        <w:t>Федерации на рассмотрение, и т.</w:t>
      </w:r>
      <w:r w:rsidRPr="00612F1E">
        <w:rPr>
          <w:rFonts w:ascii="Times New Roman" w:hAnsi="Times New Roman" w:cs="Times New Roman"/>
          <w:sz w:val="28"/>
          <w:szCs w:val="28"/>
        </w:rPr>
        <w:t>п.</w:t>
      </w:r>
    </w:p>
    <w:p w:rsidR="00FE78FA" w:rsidRPr="00D84372" w:rsidRDefault="00FE78FA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4111" w:rsidRDefault="00FE78FA" w:rsidP="00FE7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72">
        <w:rPr>
          <w:rFonts w:ascii="Times New Roman" w:hAnsi="Times New Roman" w:cs="Times New Roman"/>
          <w:b/>
          <w:sz w:val="28"/>
          <w:szCs w:val="28"/>
        </w:rPr>
        <w:t xml:space="preserve">Тематика обращений, </w:t>
      </w:r>
    </w:p>
    <w:p w:rsidR="00FE78FA" w:rsidRDefault="00FE78FA" w:rsidP="00FE7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72">
        <w:rPr>
          <w:rFonts w:ascii="Times New Roman" w:hAnsi="Times New Roman" w:cs="Times New Roman"/>
          <w:b/>
          <w:sz w:val="28"/>
          <w:szCs w:val="28"/>
        </w:rPr>
        <w:t>поступивших в Верховный Совет Республики Хакасия</w:t>
      </w:r>
    </w:p>
    <w:p w:rsidR="00924111" w:rsidRDefault="00924111" w:rsidP="00FE78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7"/>
        <w:gridCol w:w="4423"/>
        <w:gridCol w:w="2439"/>
        <w:gridCol w:w="1843"/>
      </w:tblGrid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23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Тематика обращений</w:t>
            </w:r>
          </w:p>
        </w:tc>
        <w:tc>
          <w:tcPr>
            <w:tcW w:w="2439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1843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24,7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Общие вопросы государственного управления (защита прав потребителей, антимонопольное законодательство и т.п.)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Жилищные вопросы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11,7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Здравоохранение. Физическая культура и спорт. Туризм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5,4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Природные ресурсы и охрана окружающей среды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социальное страхование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16,9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дорожное хозяйство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Оборона. Вооруженные Силы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1,6</w:t>
            </w:r>
          </w:p>
        </w:tc>
      </w:tr>
      <w:tr w:rsidR="00924111" w:rsidRPr="00D84372" w:rsidTr="00924111">
        <w:tc>
          <w:tcPr>
            <w:tcW w:w="617" w:type="dxa"/>
          </w:tcPr>
          <w:p w:rsidR="00924111" w:rsidRPr="00D84372" w:rsidRDefault="00924111" w:rsidP="00172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24111" w:rsidRPr="00D84372" w:rsidRDefault="00924111" w:rsidP="00815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7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439" w:type="dxa"/>
          </w:tcPr>
          <w:p w:rsidR="00924111" w:rsidRPr="00D84372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255</w:t>
            </w:r>
          </w:p>
        </w:tc>
        <w:tc>
          <w:tcPr>
            <w:tcW w:w="1843" w:type="dxa"/>
          </w:tcPr>
          <w:p w:rsidR="00924111" w:rsidRDefault="00924111" w:rsidP="00172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78FA" w:rsidRDefault="00FE78FA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В обращениях, поступивших в Верховный Совет, затрагивались проблемы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11A9">
        <w:rPr>
          <w:rFonts w:ascii="Times New Roman" w:hAnsi="Times New Roman" w:cs="Times New Roman"/>
          <w:b/>
          <w:sz w:val="28"/>
          <w:szCs w:val="28"/>
        </w:rPr>
        <w:t>1</w:t>
      </w:r>
      <w:r w:rsidR="00934825">
        <w:rPr>
          <w:rFonts w:ascii="Times New Roman" w:hAnsi="Times New Roman" w:cs="Times New Roman"/>
          <w:b/>
          <w:sz w:val="28"/>
          <w:szCs w:val="28"/>
        </w:rPr>
        <w:t>1</w:t>
      </w:r>
      <w:r w:rsidRPr="001111A9">
        <w:rPr>
          <w:rFonts w:ascii="Times New Roman" w:hAnsi="Times New Roman" w:cs="Times New Roman"/>
          <w:b/>
          <w:sz w:val="28"/>
          <w:szCs w:val="28"/>
        </w:rPr>
        <w:t>,7%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Pr="00D84372">
        <w:rPr>
          <w:rFonts w:ascii="Times New Roman" w:hAnsi="Times New Roman" w:cs="Times New Roman"/>
          <w:sz w:val="28"/>
          <w:szCs w:val="28"/>
        </w:rPr>
        <w:t>, которые включали вопросы благоустройства городов и поселков; жилья и коммунального обслуживания населения; электро-, водо-, газо- и теплоснабжени</w:t>
      </w:r>
      <w:r w:rsidR="00FA1853">
        <w:rPr>
          <w:rFonts w:ascii="Times New Roman" w:hAnsi="Times New Roman" w:cs="Times New Roman"/>
          <w:sz w:val="28"/>
          <w:szCs w:val="28"/>
        </w:rPr>
        <w:t>я</w:t>
      </w:r>
      <w:r w:rsidRPr="00D84372">
        <w:rPr>
          <w:rFonts w:ascii="Times New Roman" w:hAnsi="Times New Roman" w:cs="Times New Roman"/>
          <w:sz w:val="28"/>
          <w:szCs w:val="28"/>
        </w:rPr>
        <w:t>, оплат</w:t>
      </w:r>
      <w:r w:rsidR="00FA1853">
        <w:rPr>
          <w:rFonts w:ascii="Times New Roman" w:hAnsi="Times New Roman" w:cs="Times New Roman"/>
          <w:sz w:val="28"/>
          <w:szCs w:val="28"/>
        </w:rPr>
        <w:t>ы</w:t>
      </w:r>
      <w:r w:rsidRPr="00D84372">
        <w:rPr>
          <w:rFonts w:ascii="Times New Roman" w:hAnsi="Times New Roman" w:cs="Times New Roman"/>
          <w:sz w:val="28"/>
          <w:szCs w:val="28"/>
        </w:rPr>
        <w:t xml:space="preserve"> жилищно-коммунальных услуг; тариф</w:t>
      </w:r>
      <w:r w:rsidR="009B5FE9">
        <w:rPr>
          <w:rFonts w:ascii="Times New Roman" w:hAnsi="Times New Roman" w:cs="Times New Roman"/>
          <w:sz w:val="28"/>
          <w:szCs w:val="28"/>
        </w:rPr>
        <w:t>ов</w:t>
      </w:r>
      <w:r w:rsidRPr="00D84372">
        <w:rPr>
          <w:rFonts w:ascii="Times New Roman" w:hAnsi="Times New Roman" w:cs="Times New Roman"/>
          <w:sz w:val="28"/>
          <w:szCs w:val="28"/>
        </w:rPr>
        <w:t xml:space="preserve"> и льгот по оплате жилищно-коммунальных услуг; </w:t>
      </w:r>
      <w:r w:rsidR="00934825">
        <w:rPr>
          <w:rFonts w:ascii="Times New Roman" w:hAnsi="Times New Roman" w:cs="Times New Roman"/>
          <w:sz w:val="28"/>
          <w:szCs w:val="28"/>
        </w:rPr>
        <w:t xml:space="preserve">замены печного отопления на </w:t>
      </w:r>
      <w:r w:rsidR="00934825" w:rsidRPr="00934825">
        <w:rPr>
          <w:rFonts w:ascii="Times New Roman" w:hAnsi="Times New Roman" w:cs="Times New Roman"/>
          <w:sz w:val="28"/>
          <w:szCs w:val="28"/>
        </w:rPr>
        <w:t>современные твердотопливные котлы</w:t>
      </w:r>
      <w:r w:rsidR="00934825">
        <w:rPr>
          <w:rFonts w:ascii="Times New Roman" w:hAnsi="Times New Roman" w:cs="Times New Roman"/>
          <w:sz w:val="28"/>
          <w:szCs w:val="28"/>
        </w:rPr>
        <w:t xml:space="preserve"> </w:t>
      </w:r>
      <w:r w:rsidRPr="00D84372">
        <w:rPr>
          <w:rFonts w:ascii="Times New Roman" w:hAnsi="Times New Roman" w:cs="Times New Roman"/>
          <w:sz w:val="28"/>
          <w:szCs w:val="28"/>
        </w:rPr>
        <w:t>и т.п.</w:t>
      </w:r>
    </w:p>
    <w:p w:rsidR="00934825" w:rsidRPr="009F2A74" w:rsidRDefault="00FE78FA" w:rsidP="009F2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74">
        <w:rPr>
          <w:rFonts w:ascii="Times New Roman" w:hAnsi="Times New Roman" w:cs="Times New Roman"/>
          <w:sz w:val="28"/>
          <w:szCs w:val="28"/>
        </w:rPr>
        <w:t>В 202</w:t>
      </w:r>
      <w:r w:rsidR="00934825" w:rsidRPr="009F2A74">
        <w:rPr>
          <w:rFonts w:ascii="Times New Roman" w:hAnsi="Times New Roman" w:cs="Times New Roman"/>
          <w:sz w:val="28"/>
          <w:szCs w:val="28"/>
        </w:rPr>
        <w:t>5</w:t>
      </w:r>
      <w:r w:rsidRPr="009F2A74">
        <w:rPr>
          <w:rFonts w:ascii="Times New Roman" w:hAnsi="Times New Roman" w:cs="Times New Roman"/>
          <w:sz w:val="28"/>
          <w:szCs w:val="28"/>
        </w:rPr>
        <w:t xml:space="preserve"> году поступили многочисленные обращения жителей </w:t>
      </w:r>
      <w:r w:rsidR="00934825" w:rsidRPr="009F2A74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9F2A74">
        <w:rPr>
          <w:rFonts w:ascii="Times New Roman" w:hAnsi="Times New Roman" w:cs="Times New Roman"/>
          <w:sz w:val="28"/>
          <w:szCs w:val="28"/>
        </w:rPr>
        <w:t xml:space="preserve"> по вопросу об</w:t>
      </w:r>
      <w:r w:rsidR="003A6F65">
        <w:rPr>
          <w:rFonts w:ascii="Times New Roman" w:hAnsi="Times New Roman" w:cs="Times New Roman"/>
          <w:sz w:val="28"/>
          <w:szCs w:val="28"/>
        </w:rPr>
        <w:t>еспечения жилищных прав граждан</w:t>
      </w:r>
      <w:r w:rsidR="00934825" w:rsidRPr="009F2A74">
        <w:rPr>
          <w:rFonts w:ascii="Times New Roman" w:hAnsi="Times New Roman" w:cs="Times New Roman"/>
          <w:sz w:val="28"/>
          <w:szCs w:val="28"/>
        </w:rPr>
        <w:t xml:space="preserve"> </w:t>
      </w:r>
      <w:r w:rsidR="00ED01F0">
        <w:rPr>
          <w:rFonts w:ascii="Times New Roman" w:hAnsi="Times New Roman" w:cs="Times New Roman"/>
          <w:sz w:val="28"/>
          <w:szCs w:val="28"/>
        </w:rPr>
        <w:t xml:space="preserve">с просьбами оказать содействие </w:t>
      </w:r>
      <w:r w:rsidR="00934825" w:rsidRPr="009F2A74">
        <w:rPr>
          <w:rFonts w:ascii="Times New Roman" w:hAnsi="Times New Roman" w:cs="Times New Roman"/>
          <w:sz w:val="28"/>
          <w:szCs w:val="28"/>
        </w:rPr>
        <w:t>в устранении правового пробела, заключающегося</w:t>
      </w:r>
      <w:r w:rsidR="009F2A74" w:rsidRPr="009F2A74">
        <w:rPr>
          <w:rFonts w:ascii="Times New Roman" w:hAnsi="Times New Roman" w:cs="Times New Roman"/>
          <w:sz w:val="28"/>
          <w:szCs w:val="28"/>
        </w:rPr>
        <w:t xml:space="preserve"> </w:t>
      </w:r>
      <w:r w:rsidR="00934825" w:rsidRPr="009F2A74">
        <w:rPr>
          <w:rFonts w:ascii="Times New Roman" w:hAnsi="Times New Roman" w:cs="Times New Roman"/>
          <w:sz w:val="28"/>
          <w:szCs w:val="28"/>
        </w:rPr>
        <w:t>в отсутствии порядка участия органов государственного надзора (контроля) в формируемых в субъектах Российской Федерации межведомственных комиссиях для признания жилых помещений пригодными для проживания в целях распоряжения средствами ма</w:t>
      </w:r>
      <w:r w:rsidR="009D01BD">
        <w:rPr>
          <w:rFonts w:ascii="Times New Roman" w:hAnsi="Times New Roman" w:cs="Times New Roman"/>
          <w:sz w:val="28"/>
          <w:szCs w:val="28"/>
        </w:rPr>
        <w:t>теринского (семейного) капитала.</w:t>
      </w:r>
      <w:r w:rsidR="00934825" w:rsidRPr="009F2A74">
        <w:rPr>
          <w:rFonts w:ascii="Times New Roman" w:hAnsi="Times New Roman" w:cs="Times New Roman"/>
          <w:sz w:val="28"/>
          <w:szCs w:val="28"/>
        </w:rPr>
        <w:t xml:space="preserve"> </w:t>
      </w:r>
      <w:r w:rsidR="009D01BD">
        <w:rPr>
          <w:rFonts w:ascii="Times New Roman" w:hAnsi="Times New Roman" w:cs="Times New Roman"/>
          <w:sz w:val="28"/>
          <w:szCs w:val="28"/>
        </w:rPr>
        <w:t xml:space="preserve">Данный пробел приводил </w:t>
      </w:r>
      <w:r w:rsidR="00934825" w:rsidRPr="009F2A74">
        <w:rPr>
          <w:rFonts w:ascii="Times New Roman" w:hAnsi="Times New Roman" w:cs="Times New Roman"/>
          <w:sz w:val="28"/>
          <w:szCs w:val="28"/>
        </w:rPr>
        <w:t>к отказу в выдаче заключения о признании жилого помещения пригодным для проживания в целях распоряжения средствами материнского (семейного) ка</w:t>
      </w:r>
      <w:r w:rsidR="009F2A74" w:rsidRPr="009F2A74">
        <w:rPr>
          <w:rFonts w:ascii="Times New Roman" w:hAnsi="Times New Roman" w:cs="Times New Roman"/>
          <w:sz w:val="28"/>
          <w:szCs w:val="28"/>
        </w:rPr>
        <w:t>питала.</w:t>
      </w:r>
    </w:p>
    <w:p w:rsidR="009F2A74" w:rsidRPr="009F2A74" w:rsidRDefault="009F2A74" w:rsidP="009F2A74">
      <w:pPr>
        <w:pStyle w:val="2"/>
        <w:shd w:val="clear" w:color="auto" w:fill="auto"/>
        <w:spacing w:before="0" w:after="0" w:line="240" w:lineRule="auto"/>
        <w:ind w:left="62" w:right="62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2A74">
        <w:rPr>
          <w:rFonts w:ascii="Times New Roman" w:hAnsi="Times New Roman" w:cs="Times New Roman"/>
          <w:sz w:val="28"/>
          <w:szCs w:val="28"/>
        </w:rPr>
        <w:t xml:space="preserve"> целях устранения </w:t>
      </w:r>
      <w:r w:rsidR="00B802EF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74">
        <w:rPr>
          <w:rFonts w:ascii="Times New Roman" w:hAnsi="Times New Roman" w:cs="Times New Roman"/>
          <w:sz w:val="28"/>
          <w:szCs w:val="28"/>
        </w:rPr>
        <w:t xml:space="preserve">правового пробела </w:t>
      </w:r>
      <w:r w:rsidRPr="000A7A7D">
        <w:rPr>
          <w:rFonts w:ascii="Times New Roman" w:hAnsi="Times New Roman" w:cs="Times New Roman"/>
          <w:sz w:val="28"/>
          <w:szCs w:val="28"/>
        </w:rPr>
        <w:t>24.</w:t>
      </w:r>
      <w:r w:rsidR="002301A9" w:rsidRPr="000A7A7D">
        <w:rPr>
          <w:rFonts w:ascii="Times New Roman" w:hAnsi="Times New Roman" w:cs="Times New Roman"/>
          <w:sz w:val="28"/>
          <w:szCs w:val="28"/>
        </w:rPr>
        <w:t>09</w:t>
      </w:r>
      <w:r w:rsidRPr="000A7A7D">
        <w:rPr>
          <w:rFonts w:ascii="Times New Roman" w:hAnsi="Times New Roman" w:cs="Times New Roman"/>
          <w:sz w:val="28"/>
          <w:szCs w:val="28"/>
        </w:rPr>
        <w:t>.2025</w:t>
      </w:r>
      <w:r w:rsidRPr="009F2A74">
        <w:rPr>
          <w:rFonts w:ascii="Times New Roman" w:hAnsi="Times New Roman" w:cs="Times New Roman"/>
          <w:sz w:val="28"/>
          <w:szCs w:val="28"/>
        </w:rPr>
        <w:t xml:space="preserve"> на </w:t>
      </w:r>
      <w:r w:rsidR="000A7A7D">
        <w:rPr>
          <w:rFonts w:ascii="Times New Roman" w:hAnsi="Times New Roman" w:cs="Times New Roman"/>
          <w:sz w:val="28"/>
          <w:szCs w:val="28"/>
        </w:rPr>
        <w:t>двадцать пятой</w:t>
      </w:r>
      <w:r w:rsidRPr="009F2A74">
        <w:rPr>
          <w:rFonts w:ascii="Times New Roman" w:hAnsi="Times New Roman" w:cs="Times New Roman"/>
          <w:sz w:val="28"/>
          <w:szCs w:val="28"/>
        </w:rPr>
        <w:t xml:space="preserve"> сессии Верховного Совета </w:t>
      </w:r>
      <w:r w:rsidR="00B802E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F2A74">
        <w:rPr>
          <w:rFonts w:ascii="Times New Roman" w:hAnsi="Times New Roman" w:cs="Times New Roman"/>
          <w:sz w:val="28"/>
          <w:szCs w:val="28"/>
        </w:rPr>
        <w:t xml:space="preserve">принято постановление Верховного Совета Республики Хакасия № 624-25 «Об обращении Верховного Совета Республики Хакасия «К Председателю Правительства Российской Федерации Мишустину М.В. о необходимости внесения изменений в 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в части правового регулирования правоотношений по вопросам признания жилых помещений пригодными для проживания в целях распоряжения средствами материнского (семейного) капитала», в котором Верховный Совет </w:t>
      </w:r>
      <w:r w:rsidRPr="00947D4F">
        <w:rPr>
          <w:rFonts w:ascii="Times New Roman" w:hAnsi="Times New Roman" w:cs="Times New Roman"/>
          <w:sz w:val="28"/>
          <w:szCs w:val="28"/>
        </w:rPr>
        <w:t>просит Правительство Российской Федерации</w:t>
      </w:r>
      <w:r w:rsidRPr="00947D4F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 w:rsidR="00947D4F">
        <w:rPr>
          <w:rFonts w:ascii="Times New Roman" w:hAnsi="Times New Roman" w:cs="Times New Roman"/>
          <w:sz w:val="28"/>
          <w:szCs w:val="28"/>
        </w:rPr>
        <w:t xml:space="preserve">урегулировать </w:t>
      </w:r>
      <w:r w:rsidRPr="009F2A74">
        <w:rPr>
          <w:rFonts w:ascii="Times New Roman" w:hAnsi="Times New Roman" w:cs="Times New Roman"/>
          <w:sz w:val="28"/>
          <w:szCs w:val="28"/>
        </w:rPr>
        <w:t>поряд</w:t>
      </w:r>
      <w:r w:rsidR="00947D4F">
        <w:rPr>
          <w:rFonts w:ascii="Times New Roman" w:hAnsi="Times New Roman" w:cs="Times New Roman"/>
          <w:sz w:val="28"/>
          <w:szCs w:val="28"/>
        </w:rPr>
        <w:t>ок</w:t>
      </w:r>
      <w:r w:rsidRPr="009F2A74">
        <w:rPr>
          <w:rFonts w:ascii="Times New Roman" w:hAnsi="Times New Roman" w:cs="Times New Roman"/>
          <w:sz w:val="28"/>
          <w:szCs w:val="28"/>
        </w:rPr>
        <w:t xml:space="preserve"> участия органов государственного надзора (контроля) в межведомственных комиссиях.</w:t>
      </w:r>
    </w:p>
    <w:p w:rsidR="009F2A74" w:rsidRDefault="009F2A74" w:rsidP="004220E8">
      <w:pPr>
        <w:pStyle w:val="2"/>
        <w:shd w:val="clear" w:color="auto" w:fill="auto"/>
        <w:spacing w:before="0" w:after="0" w:line="240" w:lineRule="auto"/>
        <w:ind w:left="62" w:right="6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2A74">
        <w:rPr>
          <w:rFonts w:ascii="Times New Roman" w:hAnsi="Times New Roman" w:cs="Times New Roman"/>
          <w:sz w:val="28"/>
          <w:szCs w:val="28"/>
        </w:rPr>
        <w:t>Данное постановление направлено Председателю Правительства Российской Федерации Мишустину М.В., а также сенаторам Российской Федерации Жукову А.А. и Земцову О.А. с просьбой ходатайствовать перед федеральными органами государственной власти о положительном решении вопроса, поставленного в указанном обращении.</w:t>
      </w:r>
    </w:p>
    <w:p w:rsidR="004220E8" w:rsidRDefault="00867F18" w:rsidP="004220E8">
      <w:pPr>
        <w:autoSpaceDE w:val="0"/>
        <w:autoSpaceDN w:val="0"/>
        <w:adjustRightInd w:val="0"/>
        <w:spacing w:after="0" w:line="240" w:lineRule="auto"/>
        <w:ind w:left="62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A40AF">
        <w:rPr>
          <w:rFonts w:ascii="Times New Roman" w:hAnsi="Times New Roman" w:cs="Times New Roman"/>
          <w:sz w:val="28"/>
          <w:szCs w:val="28"/>
        </w:rPr>
        <w:t>апреле</w:t>
      </w:r>
      <w:r w:rsidR="00816B72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6A40AF">
        <w:rPr>
          <w:rFonts w:ascii="Times New Roman" w:hAnsi="Times New Roman" w:cs="Times New Roman"/>
          <w:sz w:val="28"/>
          <w:szCs w:val="28"/>
        </w:rPr>
        <w:t>а</w:t>
      </w:r>
      <w:r w:rsidR="00816B72">
        <w:rPr>
          <w:rFonts w:ascii="Times New Roman" w:hAnsi="Times New Roman" w:cs="Times New Roman"/>
          <w:sz w:val="28"/>
          <w:szCs w:val="28"/>
        </w:rPr>
        <w:t xml:space="preserve"> поступили многочисленные обращения от родителей приемных семей Республики Хакасия </w:t>
      </w:r>
      <w:r w:rsidR="006A40AF">
        <w:rPr>
          <w:rFonts w:ascii="Times New Roman" w:hAnsi="Times New Roman" w:cs="Times New Roman"/>
          <w:sz w:val="28"/>
          <w:szCs w:val="28"/>
        </w:rPr>
        <w:t xml:space="preserve">по вопросу индексации расходов на возмещение полного государственного обеспечения, а также вознаграждения, причитающегося приемным родителям. В ходе рассмотрения данных обращений проводились совещания, </w:t>
      </w:r>
      <w:r w:rsidR="00DC2410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4220E8">
        <w:rPr>
          <w:rFonts w:ascii="Times New Roman" w:hAnsi="Times New Roman" w:cs="Times New Roman"/>
          <w:sz w:val="28"/>
          <w:szCs w:val="28"/>
        </w:rPr>
        <w:t xml:space="preserve">был </w:t>
      </w:r>
      <w:r w:rsidR="006A40AF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и принят </w:t>
      </w:r>
      <w:r w:rsidR="00DC2410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6A40AF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DC2410" w:rsidRPr="00DC2410">
        <w:t xml:space="preserve"> </w:t>
      </w:r>
      <w:r w:rsidR="00DC2410" w:rsidRPr="00DC2410">
        <w:rPr>
          <w:rFonts w:ascii="Times New Roman" w:hAnsi="Times New Roman" w:cs="Times New Roman"/>
          <w:sz w:val="28"/>
          <w:szCs w:val="28"/>
        </w:rPr>
        <w:t>от 29.10.2025 № 65-ЗРХ</w:t>
      </w:r>
      <w:r w:rsidR="006A40AF">
        <w:rPr>
          <w:rFonts w:ascii="Times New Roman" w:hAnsi="Times New Roman" w:cs="Times New Roman"/>
          <w:sz w:val="28"/>
          <w:szCs w:val="28"/>
        </w:rPr>
        <w:t xml:space="preserve"> </w:t>
      </w:r>
      <w:r w:rsidR="00D40A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40AF">
        <w:rPr>
          <w:rFonts w:ascii="Times New Roman" w:hAnsi="Times New Roman" w:cs="Times New Roman"/>
          <w:sz w:val="28"/>
          <w:szCs w:val="28"/>
        </w:rPr>
        <w:t xml:space="preserve">«О </w:t>
      </w:r>
      <w:r w:rsidR="006A40AF" w:rsidRPr="006A40AF">
        <w:rPr>
          <w:rFonts w:ascii="Times New Roman" w:hAnsi="Times New Roman" w:cs="Times New Roman"/>
          <w:sz w:val="28"/>
          <w:szCs w:val="28"/>
        </w:rPr>
        <w:t>внесе</w:t>
      </w:r>
      <w:r w:rsidR="006A40AF">
        <w:rPr>
          <w:rFonts w:ascii="Times New Roman" w:hAnsi="Times New Roman" w:cs="Times New Roman"/>
          <w:sz w:val="28"/>
          <w:szCs w:val="28"/>
        </w:rPr>
        <w:t>нии изменений в приложение 7 к Закону Р</w:t>
      </w:r>
      <w:r w:rsidR="006A40AF" w:rsidRPr="006A40AF">
        <w:rPr>
          <w:rFonts w:ascii="Times New Roman" w:hAnsi="Times New Roman" w:cs="Times New Roman"/>
          <w:sz w:val="28"/>
          <w:szCs w:val="28"/>
        </w:rPr>
        <w:t>ес</w:t>
      </w:r>
      <w:r w:rsidR="006A40AF">
        <w:rPr>
          <w:rFonts w:ascii="Times New Roman" w:hAnsi="Times New Roman" w:cs="Times New Roman"/>
          <w:sz w:val="28"/>
          <w:szCs w:val="28"/>
        </w:rPr>
        <w:t>публики Хакасия</w:t>
      </w:r>
      <w:r w:rsidR="00DC2410">
        <w:rPr>
          <w:rFonts w:ascii="Times New Roman" w:hAnsi="Times New Roman" w:cs="Times New Roman"/>
          <w:sz w:val="28"/>
          <w:szCs w:val="28"/>
        </w:rPr>
        <w:t xml:space="preserve"> </w:t>
      </w:r>
      <w:r w:rsidR="00D40A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40AF">
        <w:rPr>
          <w:rFonts w:ascii="Times New Roman" w:hAnsi="Times New Roman" w:cs="Times New Roman"/>
          <w:sz w:val="28"/>
          <w:szCs w:val="28"/>
        </w:rPr>
        <w:t>«О</w:t>
      </w:r>
      <w:r w:rsidR="006A40AF" w:rsidRPr="006A40AF">
        <w:rPr>
          <w:rFonts w:ascii="Times New Roman" w:hAnsi="Times New Roman" w:cs="Times New Roman"/>
          <w:sz w:val="28"/>
          <w:szCs w:val="28"/>
        </w:rPr>
        <w:t xml:space="preserve"> социальной поддержке детей-сирот, детей, оставшихся без попечения родителей, и лиц из числа детей-сирот и детей, оставшихся без попечения роди</w:t>
      </w:r>
      <w:r w:rsidR="006A40AF">
        <w:rPr>
          <w:rFonts w:ascii="Times New Roman" w:hAnsi="Times New Roman" w:cs="Times New Roman"/>
          <w:sz w:val="28"/>
          <w:szCs w:val="28"/>
        </w:rPr>
        <w:t>телей</w:t>
      </w:r>
      <w:r w:rsidR="00666C76">
        <w:rPr>
          <w:rFonts w:ascii="Times New Roman" w:hAnsi="Times New Roman" w:cs="Times New Roman"/>
          <w:sz w:val="28"/>
          <w:szCs w:val="28"/>
        </w:rPr>
        <w:t>».</w:t>
      </w:r>
      <w:r w:rsidR="00422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F22" w:rsidRDefault="00567F22" w:rsidP="00816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F22">
        <w:rPr>
          <w:rFonts w:ascii="Times New Roman" w:hAnsi="Times New Roman" w:cs="Times New Roman"/>
          <w:sz w:val="28"/>
          <w:szCs w:val="28"/>
        </w:rPr>
        <w:t>Кроме того, граждан волнует вопрос обеспечения жиль</w:t>
      </w:r>
      <w:r w:rsidR="005A4B2C">
        <w:rPr>
          <w:rFonts w:ascii="Times New Roman" w:hAnsi="Times New Roman" w:cs="Times New Roman"/>
          <w:sz w:val="28"/>
          <w:szCs w:val="28"/>
        </w:rPr>
        <w:t>е</w:t>
      </w:r>
      <w:r w:rsidRPr="00567F22">
        <w:rPr>
          <w:rFonts w:ascii="Times New Roman" w:hAnsi="Times New Roman" w:cs="Times New Roman"/>
          <w:sz w:val="28"/>
          <w:szCs w:val="28"/>
        </w:rPr>
        <w:t xml:space="preserve">м </w:t>
      </w:r>
      <w:r w:rsidR="00456A97">
        <w:rPr>
          <w:rFonts w:ascii="Times New Roman" w:hAnsi="Times New Roman" w:cs="Times New Roman"/>
          <w:sz w:val="28"/>
          <w:szCs w:val="28"/>
        </w:rPr>
        <w:t>детей-сирот</w:t>
      </w:r>
      <w:r w:rsidRPr="00567F22">
        <w:rPr>
          <w:rFonts w:ascii="Times New Roman" w:hAnsi="Times New Roman" w:cs="Times New Roman"/>
          <w:sz w:val="28"/>
          <w:szCs w:val="28"/>
        </w:rPr>
        <w:t>, в отношении которых уже приняты судебные решения о предоставлении им жилых помещений.</w:t>
      </w:r>
    </w:p>
    <w:p w:rsidR="00816B72" w:rsidRDefault="00641516" w:rsidP="00816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специальной военной операции</w:t>
      </w:r>
      <w:r w:rsidR="005912CC">
        <w:rPr>
          <w:rFonts w:ascii="Times New Roman" w:hAnsi="Times New Roman" w:cs="Times New Roman"/>
          <w:sz w:val="28"/>
          <w:szCs w:val="28"/>
        </w:rPr>
        <w:t xml:space="preserve"> </w:t>
      </w:r>
      <w:r w:rsidR="005912CC" w:rsidRPr="005912CC">
        <w:rPr>
          <w:rFonts w:ascii="Times New Roman" w:hAnsi="Times New Roman" w:cs="Times New Roman"/>
          <w:sz w:val="28"/>
          <w:szCs w:val="28"/>
        </w:rPr>
        <w:t>(далее – СВО)</w:t>
      </w:r>
      <w:r w:rsidR="00816B72" w:rsidRPr="00D84372">
        <w:rPr>
          <w:rFonts w:ascii="Times New Roman" w:hAnsi="Times New Roman" w:cs="Times New Roman"/>
          <w:sz w:val="28"/>
          <w:szCs w:val="28"/>
        </w:rPr>
        <w:t xml:space="preserve"> </w:t>
      </w:r>
      <w:r w:rsidR="00816B72" w:rsidRPr="00D84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сентября 2022 г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ода </w:t>
      </w:r>
      <w:r w:rsidR="00816B72" w:rsidRPr="00D84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поступали и </w:t>
      </w:r>
      <w:r w:rsidR="00591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продолжают </w:t>
      </w:r>
      <w:r w:rsidR="00816B72" w:rsidRPr="00D84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поступа</w:t>
      </w:r>
      <w:r w:rsidR="00591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ть</w:t>
      </w:r>
      <w:r w:rsidR="00816B72" w:rsidRPr="00D84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обращения</w:t>
      </w:r>
      <w:r w:rsidR="007C12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C12D5" w:rsidRPr="00722C10">
        <w:rPr>
          <w:rFonts w:ascii="Times New Roman" w:hAnsi="Times New Roman" w:cs="Times New Roman"/>
          <w:sz w:val="28"/>
          <w:szCs w:val="28"/>
        </w:rPr>
        <w:t>(</w:t>
      </w:r>
      <w:r w:rsidR="00765873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187C41" w:rsidRPr="00187C41">
        <w:rPr>
          <w:rFonts w:ascii="Times New Roman" w:hAnsi="Times New Roman" w:cs="Times New Roman"/>
          <w:b/>
          <w:sz w:val="28"/>
          <w:szCs w:val="28"/>
        </w:rPr>
        <w:t>–</w:t>
      </w:r>
      <w:r w:rsidR="00765873">
        <w:rPr>
          <w:rFonts w:ascii="Times New Roman" w:hAnsi="Times New Roman" w:cs="Times New Roman"/>
          <w:sz w:val="28"/>
          <w:szCs w:val="28"/>
        </w:rPr>
        <w:t xml:space="preserve"> </w:t>
      </w:r>
      <w:r w:rsidR="007C12D5" w:rsidRPr="00722C10">
        <w:rPr>
          <w:rFonts w:ascii="Times New Roman" w:hAnsi="Times New Roman" w:cs="Times New Roman"/>
          <w:b/>
          <w:sz w:val="28"/>
          <w:szCs w:val="28"/>
        </w:rPr>
        <w:t>21,2%</w:t>
      </w:r>
      <w:r w:rsidR="007C12D5" w:rsidRPr="00722C10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5912CC">
        <w:rPr>
          <w:rFonts w:ascii="Times New Roman" w:hAnsi="Times New Roman" w:cs="Times New Roman"/>
          <w:sz w:val="28"/>
          <w:szCs w:val="28"/>
        </w:rPr>
        <w:t>числа</w:t>
      </w:r>
      <w:r w:rsidR="007C12D5" w:rsidRPr="00722C10">
        <w:rPr>
          <w:rFonts w:ascii="Times New Roman" w:hAnsi="Times New Roman" w:cs="Times New Roman"/>
          <w:sz w:val="28"/>
          <w:szCs w:val="28"/>
        </w:rPr>
        <w:t>)</w:t>
      </w:r>
      <w:r w:rsidR="00816B72" w:rsidRPr="00D84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816B72" w:rsidRPr="00D84372">
        <w:rPr>
          <w:rFonts w:ascii="Times New Roman" w:hAnsi="Times New Roman" w:cs="Times New Roman"/>
          <w:sz w:val="28"/>
          <w:szCs w:val="28"/>
        </w:rPr>
        <w:t>посвященные вопросам прохожде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1F0A28">
        <w:rPr>
          <w:rFonts w:ascii="Times New Roman" w:hAnsi="Times New Roman" w:cs="Times New Roman"/>
          <w:sz w:val="28"/>
          <w:szCs w:val="28"/>
        </w:rPr>
        <w:t xml:space="preserve"> </w:t>
      </w:r>
      <w:r w:rsidR="00816B72" w:rsidRPr="00D84372">
        <w:rPr>
          <w:rFonts w:ascii="Times New Roman" w:hAnsi="Times New Roman" w:cs="Times New Roman"/>
          <w:sz w:val="28"/>
          <w:szCs w:val="28"/>
        </w:rPr>
        <w:t>военной службы в Воору</w:t>
      </w:r>
      <w:r w:rsidR="005912CC">
        <w:rPr>
          <w:rFonts w:ascii="Times New Roman" w:hAnsi="Times New Roman" w:cs="Times New Roman"/>
          <w:sz w:val="28"/>
          <w:szCs w:val="28"/>
        </w:rPr>
        <w:t>женных С</w:t>
      </w:r>
      <w:r w:rsidR="00816B72" w:rsidRPr="00D84372">
        <w:rPr>
          <w:rFonts w:ascii="Times New Roman" w:hAnsi="Times New Roman" w:cs="Times New Roman"/>
          <w:sz w:val="28"/>
          <w:szCs w:val="28"/>
        </w:rPr>
        <w:t>илах Р</w:t>
      </w:r>
      <w:r w:rsidR="005912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16B72" w:rsidRPr="00D84372">
        <w:rPr>
          <w:rFonts w:ascii="Times New Roman" w:hAnsi="Times New Roman" w:cs="Times New Roman"/>
          <w:sz w:val="28"/>
          <w:szCs w:val="28"/>
        </w:rPr>
        <w:t>Ф</w:t>
      </w:r>
      <w:r w:rsidR="005912CC">
        <w:rPr>
          <w:rFonts w:ascii="Times New Roman" w:hAnsi="Times New Roman" w:cs="Times New Roman"/>
          <w:sz w:val="28"/>
          <w:szCs w:val="28"/>
        </w:rPr>
        <w:t>едерации</w:t>
      </w:r>
      <w:r w:rsidR="00816B72" w:rsidRPr="00D84372">
        <w:rPr>
          <w:rFonts w:ascii="Times New Roman" w:hAnsi="Times New Roman" w:cs="Times New Roman"/>
          <w:sz w:val="28"/>
          <w:szCs w:val="28"/>
        </w:rPr>
        <w:t xml:space="preserve"> в зоне проведения </w:t>
      </w:r>
      <w:r w:rsidR="005912CC">
        <w:rPr>
          <w:rFonts w:ascii="Times New Roman" w:hAnsi="Times New Roman" w:cs="Times New Roman"/>
          <w:sz w:val="28"/>
          <w:szCs w:val="28"/>
        </w:rPr>
        <w:t>СВО</w:t>
      </w:r>
      <w:r w:rsidR="00816B72">
        <w:rPr>
          <w:rFonts w:ascii="Times New Roman" w:hAnsi="Times New Roman" w:cs="Times New Roman"/>
          <w:sz w:val="28"/>
          <w:szCs w:val="28"/>
        </w:rPr>
        <w:t>, розыска и опре</w:t>
      </w:r>
      <w:r w:rsidR="008E49AE">
        <w:rPr>
          <w:rFonts w:ascii="Times New Roman" w:hAnsi="Times New Roman" w:cs="Times New Roman"/>
          <w:sz w:val="28"/>
          <w:szCs w:val="28"/>
        </w:rPr>
        <w:t xml:space="preserve">деления статуса военнослужащих – </w:t>
      </w:r>
      <w:r w:rsidR="00816B72">
        <w:rPr>
          <w:rFonts w:ascii="Times New Roman" w:hAnsi="Times New Roman" w:cs="Times New Roman"/>
          <w:sz w:val="28"/>
          <w:szCs w:val="28"/>
        </w:rPr>
        <w:t xml:space="preserve">участников СВО, оказания гуманитарной помощи, </w:t>
      </w:r>
      <w:r w:rsidR="00342E0D">
        <w:rPr>
          <w:rFonts w:ascii="Times New Roman" w:hAnsi="Times New Roman" w:cs="Times New Roman"/>
          <w:sz w:val="28"/>
          <w:szCs w:val="28"/>
        </w:rPr>
        <w:t xml:space="preserve">а также вопросам </w:t>
      </w:r>
      <w:r>
        <w:rPr>
          <w:rFonts w:ascii="Times New Roman" w:hAnsi="Times New Roman" w:cs="Times New Roman"/>
          <w:sz w:val="28"/>
          <w:szCs w:val="28"/>
        </w:rPr>
        <w:t xml:space="preserve">включения в списки обмена военнопленными </w:t>
      </w:r>
      <w:r w:rsidR="00816B72">
        <w:rPr>
          <w:rFonts w:ascii="Times New Roman" w:hAnsi="Times New Roman" w:cs="Times New Roman"/>
          <w:sz w:val="28"/>
          <w:szCs w:val="28"/>
        </w:rPr>
        <w:t>и др</w:t>
      </w:r>
      <w:r w:rsidR="00816B72" w:rsidRPr="00D84372">
        <w:rPr>
          <w:rFonts w:ascii="Times New Roman" w:hAnsi="Times New Roman" w:cs="Times New Roman"/>
          <w:sz w:val="28"/>
          <w:szCs w:val="28"/>
        </w:rPr>
        <w:t xml:space="preserve">. </w:t>
      </w:r>
      <w:r w:rsidR="00816B72">
        <w:rPr>
          <w:rFonts w:ascii="Times New Roman" w:hAnsi="Times New Roman" w:cs="Times New Roman"/>
          <w:sz w:val="28"/>
          <w:szCs w:val="28"/>
        </w:rPr>
        <w:t>Данные обращения рассматривались совместно с Правительством Республики Хакасия, военным к</w:t>
      </w:r>
      <w:r w:rsidR="008E49AE">
        <w:rPr>
          <w:rFonts w:ascii="Times New Roman" w:hAnsi="Times New Roman" w:cs="Times New Roman"/>
          <w:sz w:val="28"/>
          <w:szCs w:val="28"/>
        </w:rPr>
        <w:t>омиссариатом Республики Хакасия и</w:t>
      </w:r>
      <w:r w:rsidR="00816B72">
        <w:rPr>
          <w:rFonts w:ascii="Times New Roman" w:hAnsi="Times New Roman" w:cs="Times New Roman"/>
          <w:sz w:val="28"/>
          <w:szCs w:val="28"/>
        </w:rPr>
        <w:t xml:space="preserve"> военной про</w:t>
      </w:r>
      <w:r w:rsidR="008E49AE">
        <w:rPr>
          <w:rFonts w:ascii="Times New Roman" w:hAnsi="Times New Roman" w:cs="Times New Roman"/>
          <w:sz w:val="28"/>
          <w:szCs w:val="28"/>
        </w:rPr>
        <w:t>куратурой Абаканского гарнизона.</w:t>
      </w:r>
      <w:r w:rsidR="00816B72">
        <w:rPr>
          <w:rFonts w:ascii="Times New Roman" w:hAnsi="Times New Roman" w:cs="Times New Roman"/>
          <w:sz w:val="28"/>
          <w:szCs w:val="28"/>
        </w:rPr>
        <w:t xml:space="preserve"> </w:t>
      </w:r>
      <w:r w:rsidR="00710DBA">
        <w:rPr>
          <w:rFonts w:ascii="Times New Roman" w:hAnsi="Times New Roman" w:cs="Times New Roman"/>
          <w:sz w:val="28"/>
          <w:szCs w:val="28"/>
        </w:rPr>
        <w:t>З</w:t>
      </w:r>
      <w:r w:rsidR="00816B72">
        <w:rPr>
          <w:rFonts w:ascii="Times New Roman" w:hAnsi="Times New Roman" w:cs="Times New Roman"/>
          <w:sz w:val="28"/>
          <w:szCs w:val="28"/>
        </w:rPr>
        <w:t>аявителям даны ответы по существу</w:t>
      </w:r>
      <w:r w:rsidR="008E49AE">
        <w:rPr>
          <w:rFonts w:ascii="Times New Roman" w:hAnsi="Times New Roman" w:cs="Times New Roman"/>
          <w:sz w:val="28"/>
          <w:szCs w:val="28"/>
        </w:rPr>
        <w:t xml:space="preserve"> поставленных вопросов</w:t>
      </w:r>
      <w:r w:rsidR="00816B72">
        <w:rPr>
          <w:rFonts w:ascii="Times New Roman" w:hAnsi="Times New Roman" w:cs="Times New Roman"/>
          <w:sz w:val="28"/>
          <w:szCs w:val="28"/>
        </w:rPr>
        <w:t>.</w:t>
      </w:r>
    </w:p>
    <w:p w:rsidR="00722C10" w:rsidRDefault="00A35922" w:rsidP="00722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1516" w:rsidRPr="00722C10">
        <w:rPr>
          <w:rFonts w:ascii="Times New Roman" w:hAnsi="Times New Roman" w:cs="Times New Roman"/>
          <w:sz w:val="28"/>
          <w:szCs w:val="28"/>
        </w:rPr>
        <w:t xml:space="preserve"> 2024 и 2025</w:t>
      </w:r>
      <w:r w:rsidR="00816B72" w:rsidRPr="00722C10">
        <w:rPr>
          <w:rFonts w:ascii="Times New Roman" w:hAnsi="Times New Roman" w:cs="Times New Roman"/>
          <w:sz w:val="28"/>
          <w:szCs w:val="28"/>
        </w:rPr>
        <w:t xml:space="preserve"> год</w:t>
      </w:r>
      <w:r w:rsidR="00641516" w:rsidRPr="00722C10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в Верховный Совет </w:t>
      </w:r>
      <w:r w:rsidR="00641516" w:rsidRPr="00722C10">
        <w:rPr>
          <w:rFonts w:ascii="Times New Roman" w:hAnsi="Times New Roman" w:cs="Times New Roman"/>
          <w:sz w:val="28"/>
          <w:szCs w:val="28"/>
        </w:rPr>
        <w:t>продолжа</w:t>
      </w:r>
      <w:r w:rsidR="006C5F9D">
        <w:rPr>
          <w:rFonts w:ascii="Times New Roman" w:hAnsi="Times New Roman" w:cs="Times New Roman"/>
          <w:sz w:val="28"/>
          <w:szCs w:val="28"/>
        </w:rPr>
        <w:t xml:space="preserve">ли </w:t>
      </w:r>
      <w:r w:rsidR="00816B72" w:rsidRPr="00722C10">
        <w:rPr>
          <w:rFonts w:ascii="Times New Roman" w:hAnsi="Times New Roman" w:cs="Times New Roman"/>
          <w:sz w:val="28"/>
          <w:szCs w:val="28"/>
        </w:rPr>
        <w:t>поступа</w:t>
      </w:r>
      <w:r w:rsidR="00641516" w:rsidRPr="00722C10">
        <w:rPr>
          <w:rFonts w:ascii="Times New Roman" w:hAnsi="Times New Roman" w:cs="Times New Roman"/>
          <w:sz w:val="28"/>
          <w:szCs w:val="28"/>
        </w:rPr>
        <w:t>ть</w:t>
      </w:r>
      <w:r w:rsidR="006C5F9D">
        <w:rPr>
          <w:rFonts w:ascii="Times New Roman" w:hAnsi="Times New Roman" w:cs="Times New Roman"/>
          <w:sz w:val="28"/>
          <w:szCs w:val="28"/>
        </w:rPr>
        <w:t xml:space="preserve"> обращения членов семей участников СВО</w:t>
      </w:r>
      <w:r w:rsidR="00816B72" w:rsidRPr="00722C10">
        <w:rPr>
          <w:rFonts w:ascii="Times New Roman" w:hAnsi="Times New Roman" w:cs="Times New Roman"/>
          <w:sz w:val="28"/>
          <w:szCs w:val="28"/>
        </w:rPr>
        <w:t xml:space="preserve"> </w:t>
      </w:r>
      <w:r w:rsidR="006C5F9D" w:rsidRPr="006C5F9D">
        <w:rPr>
          <w:rFonts w:ascii="Times New Roman" w:hAnsi="Times New Roman" w:cs="Times New Roman"/>
          <w:sz w:val="28"/>
          <w:szCs w:val="28"/>
        </w:rPr>
        <w:t xml:space="preserve">с просьбой предоставить разъяснения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полагающихся им мер социальной поддержки </w:t>
      </w:r>
      <w:r w:rsidR="00816B72" w:rsidRPr="00722C10">
        <w:rPr>
          <w:rFonts w:ascii="Times New Roman" w:hAnsi="Times New Roman" w:cs="Times New Roman"/>
          <w:sz w:val="28"/>
          <w:szCs w:val="28"/>
        </w:rPr>
        <w:t>на территории Республики Хакасия. Данные обращения рассматривались</w:t>
      </w:r>
      <w:r w:rsidR="00722C10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722C10" w:rsidRPr="00722C10">
        <w:rPr>
          <w:rFonts w:ascii="Times New Roman" w:hAnsi="Times New Roman" w:cs="Times New Roman"/>
          <w:sz w:val="28"/>
          <w:szCs w:val="28"/>
        </w:rPr>
        <w:t>приняты</w:t>
      </w:r>
      <w:r w:rsidR="00722C10">
        <w:rPr>
          <w:rFonts w:ascii="Times New Roman" w:hAnsi="Times New Roman" w:cs="Times New Roman"/>
          <w:sz w:val="28"/>
          <w:szCs w:val="28"/>
        </w:rPr>
        <w:t>х</w:t>
      </w:r>
      <w:r w:rsidR="00722C10" w:rsidRPr="00722C10">
        <w:rPr>
          <w:rFonts w:ascii="Times New Roman" w:hAnsi="Times New Roman" w:cs="Times New Roman"/>
          <w:sz w:val="28"/>
          <w:szCs w:val="28"/>
        </w:rPr>
        <w:t xml:space="preserve"> </w:t>
      </w:r>
      <w:r w:rsidR="00722C10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FE5494">
        <w:rPr>
          <w:rFonts w:ascii="Times New Roman" w:hAnsi="Times New Roman" w:cs="Times New Roman"/>
          <w:sz w:val="28"/>
          <w:szCs w:val="28"/>
        </w:rPr>
        <w:t>з</w:t>
      </w:r>
      <w:r w:rsidR="00722C10" w:rsidRPr="00722C10">
        <w:rPr>
          <w:rFonts w:ascii="Times New Roman" w:hAnsi="Times New Roman" w:cs="Times New Roman"/>
          <w:sz w:val="28"/>
          <w:szCs w:val="28"/>
        </w:rPr>
        <w:t>акон</w:t>
      </w:r>
      <w:r w:rsidR="00722C10">
        <w:rPr>
          <w:rFonts w:ascii="Times New Roman" w:hAnsi="Times New Roman" w:cs="Times New Roman"/>
          <w:sz w:val="28"/>
          <w:szCs w:val="28"/>
        </w:rPr>
        <w:t>ов</w:t>
      </w:r>
      <w:r w:rsidR="00722C10" w:rsidRPr="00722C10">
        <w:rPr>
          <w:rFonts w:ascii="Times New Roman" w:hAnsi="Times New Roman" w:cs="Times New Roman"/>
          <w:sz w:val="28"/>
          <w:szCs w:val="28"/>
        </w:rPr>
        <w:t xml:space="preserve"> Республики Хакасия, направленны</w:t>
      </w:r>
      <w:r w:rsidR="00722C10">
        <w:rPr>
          <w:rFonts w:ascii="Times New Roman" w:hAnsi="Times New Roman" w:cs="Times New Roman"/>
          <w:sz w:val="28"/>
          <w:szCs w:val="28"/>
        </w:rPr>
        <w:t>х</w:t>
      </w:r>
      <w:r w:rsidR="00722C10" w:rsidRPr="00722C10">
        <w:rPr>
          <w:rFonts w:ascii="Times New Roman" w:hAnsi="Times New Roman" w:cs="Times New Roman"/>
          <w:sz w:val="28"/>
          <w:szCs w:val="28"/>
        </w:rPr>
        <w:t xml:space="preserve"> </w:t>
      </w:r>
      <w:r w:rsidR="00FE5494">
        <w:rPr>
          <w:rFonts w:ascii="Times New Roman" w:hAnsi="Times New Roman" w:cs="Times New Roman"/>
          <w:sz w:val="28"/>
          <w:szCs w:val="28"/>
        </w:rPr>
        <w:t>на расширение категорий граждан (в том числе</w:t>
      </w:r>
      <w:r w:rsidR="00722C10" w:rsidRPr="00722C10">
        <w:rPr>
          <w:rFonts w:ascii="Times New Roman" w:hAnsi="Times New Roman" w:cs="Times New Roman"/>
          <w:sz w:val="28"/>
          <w:szCs w:val="28"/>
        </w:rPr>
        <w:t xml:space="preserve"> участников СВО и членов их семей</w:t>
      </w:r>
      <w:r w:rsidR="007E2901">
        <w:rPr>
          <w:rFonts w:ascii="Times New Roman" w:hAnsi="Times New Roman" w:cs="Times New Roman"/>
          <w:sz w:val="28"/>
          <w:szCs w:val="28"/>
        </w:rPr>
        <w:t>)</w:t>
      </w:r>
      <w:r w:rsidR="00722C10" w:rsidRPr="00722C10">
        <w:rPr>
          <w:rFonts w:ascii="Times New Roman" w:hAnsi="Times New Roman" w:cs="Times New Roman"/>
          <w:sz w:val="28"/>
          <w:szCs w:val="28"/>
        </w:rPr>
        <w:t xml:space="preserve">, </w:t>
      </w:r>
      <w:r w:rsidR="00710DBA">
        <w:rPr>
          <w:rFonts w:ascii="Times New Roman" w:hAnsi="Times New Roman" w:cs="Times New Roman"/>
          <w:sz w:val="28"/>
          <w:szCs w:val="28"/>
        </w:rPr>
        <w:t>имеющих</w:t>
      </w:r>
      <w:r w:rsidR="00722C10" w:rsidRPr="00722C10">
        <w:rPr>
          <w:rFonts w:ascii="Times New Roman" w:hAnsi="Times New Roman" w:cs="Times New Roman"/>
          <w:sz w:val="28"/>
          <w:szCs w:val="28"/>
        </w:rPr>
        <w:t xml:space="preserve"> право на дополнительные меры социальной поддержки: Закон Республики Хакасия от 09.04.2024 № 20-ЗРХ «О внесении изменений в отдельные законодательные акты Республики Хакасия по вопросам предоставления дополнительных мер социальной поддержки лицам, участвующим в специальной военной операции, и членам их семей», Закон Республики Хакасия от 12.11.2024 № 80-ЗРХ «О внесении изменений в Закон Республики Хакасия «Об организации отдыха и оздоровления детей в Республике Хакасия»</w:t>
      </w:r>
      <w:r w:rsidR="00722C10">
        <w:rPr>
          <w:rFonts w:ascii="Times New Roman" w:hAnsi="Times New Roman" w:cs="Times New Roman"/>
          <w:sz w:val="28"/>
          <w:szCs w:val="28"/>
        </w:rPr>
        <w:t>. О результатах рассмотрения обращений заявителям даны ответы по существу</w:t>
      </w:r>
      <w:r w:rsidR="00D12F74" w:rsidRPr="00D12F74">
        <w:t xml:space="preserve"> </w:t>
      </w:r>
      <w:r w:rsidR="00D12F74" w:rsidRPr="00D12F74">
        <w:rPr>
          <w:rFonts w:ascii="Times New Roman" w:hAnsi="Times New Roman" w:cs="Times New Roman"/>
          <w:sz w:val="28"/>
          <w:szCs w:val="28"/>
        </w:rPr>
        <w:t>поставленных вопросов</w:t>
      </w:r>
      <w:r w:rsidR="00722C10">
        <w:rPr>
          <w:rFonts w:ascii="Times New Roman" w:hAnsi="Times New Roman" w:cs="Times New Roman"/>
          <w:sz w:val="28"/>
          <w:szCs w:val="28"/>
        </w:rPr>
        <w:t>.</w:t>
      </w:r>
    </w:p>
    <w:p w:rsidR="003D656C" w:rsidRDefault="003D656C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56C">
        <w:rPr>
          <w:rFonts w:ascii="Times New Roman" w:hAnsi="Times New Roman" w:cs="Times New Roman"/>
          <w:sz w:val="28"/>
          <w:szCs w:val="28"/>
        </w:rPr>
        <w:t xml:space="preserve">Помимо этого, поступали вопросы по социальному обеспечению и социальному страхованию, которые составляли </w:t>
      </w:r>
      <w:r w:rsidRPr="002479D0">
        <w:rPr>
          <w:rFonts w:ascii="Times New Roman" w:hAnsi="Times New Roman" w:cs="Times New Roman"/>
          <w:b/>
          <w:sz w:val="28"/>
          <w:szCs w:val="28"/>
        </w:rPr>
        <w:t>5,9%</w:t>
      </w:r>
      <w:r w:rsidRPr="003D656C">
        <w:rPr>
          <w:rFonts w:ascii="Times New Roman" w:hAnsi="Times New Roman" w:cs="Times New Roman"/>
          <w:sz w:val="28"/>
          <w:szCs w:val="28"/>
        </w:rPr>
        <w:t xml:space="preserve"> от общего количества обращений, поступивших в 2025 году. Среди них: назначение и пересмотр размеров пенсий, установление инвалидности и временной нетрудоспособности; социальная защита родственников погибших </w:t>
      </w:r>
      <w:r w:rsidRPr="003D656C">
        <w:rPr>
          <w:rFonts w:ascii="Times New Roman" w:hAnsi="Times New Roman" w:cs="Times New Roman"/>
          <w:sz w:val="28"/>
          <w:szCs w:val="28"/>
        </w:rPr>
        <w:lastRenderedPageBreak/>
        <w:t>военнослужащих; социальное обеспечение, материальная помощь и льготы многодетным и неполным семьям и т.п.</w:t>
      </w:r>
    </w:p>
    <w:p w:rsidR="000C5F44" w:rsidRDefault="00456A97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году, как и в 2024-м</w:t>
      </w:r>
      <w:r w:rsidR="002479D0" w:rsidRPr="002479D0">
        <w:rPr>
          <w:rFonts w:ascii="Times New Roman" w:hAnsi="Times New Roman" w:cs="Times New Roman"/>
          <w:sz w:val="28"/>
          <w:szCs w:val="28"/>
        </w:rPr>
        <w:t xml:space="preserve">, актуальными </w:t>
      </w:r>
      <w:r w:rsidR="005E13A1">
        <w:rPr>
          <w:rFonts w:ascii="Times New Roman" w:hAnsi="Times New Roman" w:cs="Times New Roman"/>
          <w:sz w:val="28"/>
          <w:szCs w:val="28"/>
        </w:rPr>
        <w:t>оставались</w:t>
      </w:r>
      <w:r w:rsidR="002479D0" w:rsidRPr="002479D0">
        <w:rPr>
          <w:rFonts w:ascii="Times New Roman" w:hAnsi="Times New Roman" w:cs="Times New Roman"/>
          <w:sz w:val="28"/>
          <w:szCs w:val="28"/>
        </w:rPr>
        <w:t xml:space="preserve"> вопросы здравоохранения (</w:t>
      </w:r>
      <w:r w:rsidR="002479D0" w:rsidRPr="002479D0">
        <w:rPr>
          <w:rFonts w:ascii="Times New Roman" w:hAnsi="Times New Roman" w:cs="Times New Roman"/>
          <w:b/>
          <w:sz w:val="28"/>
          <w:szCs w:val="28"/>
        </w:rPr>
        <w:t>5,4%</w:t>
      </w:r>
      <w:r w:rsidR="002479D0" w:rsidRPr="002479D0">
        <w:rPr>
          <w:rFonts w:ascii="Times New Roman" w:hAnsi="Times New Roman" w:cs="Times New Roman"/>
          <w:sz w:val="28"/>
          <w:szCs w:val="28"/>
        </w:rPr>
        <w:t>), в частности: оказание медицинской помощи различным категориям граждан; вопросы диагностики и проведения медицинской экспертизы; оказание высокотехнологичной медицинской помощи; обеспечение населения медикаментами и лекарственными средствами; кадровое обеспечение медицинских учр</w:t>
      </w:r>
      <w:r w:rsidR="000C5F44">
        <w:rPr>
          <w:rFonts w:ascii="Times New Roman" w:hAnsi="Times New Roman" w:cs="Times New Roman"/>
          <w:sz w:val="28"/>
          <w:szCs w:val="28"/>
        </w:rPr>
        <w:t>еждений Республики Хакасия и т.</w:t>
      </w:r>
      <w:r w:rsidR="002479D0" w:rsidRPr="002479D0">
        <w:rPr>
          <w:rFonts w:ascii="Times New Roman" w:hAnsi="Times New Roman" w:cs="Times New Roman"/>
          <w:sz w:val="28"/>
          <w:szCs w:val="28"/>
        </w:rPr>
        <w:t>д.</w:t>
      </w:r>
    </w:p>
    <w:p w:rsidR="00FE78FA" w:rsidRDefault="00A80E69" w:rsidP="00FE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E69">
        <w:rPr>
          <w:rFonts w:ascii="Times New Roman" w:hAnsi="Times New Roman" w:cs="Times New Roman"/>
          <w:sz w:val="28"/>
          <w:szCs w:val="28"/>
        </w:rPr>
        <w:t>Среди обращений граждан в 2025 году заметную часть составляли вопросы, касающиеся экологии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: поступали обращения по поводу </w:t>
      </w:r>
      <w:r w:rsidR="00FE78FA">
        <w:rPr>
          <w:rFonts w:ascii="Times New Roman" w:hAnsi="Times New Roman" w:cs="Times New Roman"/>
          <w:sz w:val="28"/>
          <w:szCs w:val="28"/>
        </w:rPr>
        <w:t>уровн</w:t>
      </w:r>
      <w:r w:rsidR="001F0A28">
        <w:rPr>
          <w:rFonts w:ascii="Times New Roman" w:hAnsi="Times New Roman" w:cs="Times New Roman"/>
          <w:sz w:val="28"/>
          <w:szCs w:val="28"/>
        </w:rPr>
        <w:t>я</w:t>
      </w:r>
      <w:r w:rsidR="00FE78FA">
        <w:rPr>
          <w:rFonts w:ascii="Times New Roman" w:hAnsi="Times New Roman" w:cs="Times New Roman"/>
          <w:sz w:val="28"/>
          <w:szCs w:val="28"/>
        </w:rPr>
        <w:t xml:space="preserve"> загрязнен</w:t>
      </w:r>
      <w:r w:rsidR="001F0A28">
        <w:rPr>
          <w:rFonts w:ascii="Times New Roman" w:hAnsi="Times New Roman" w:cs="Times New Roman"/>
          <w:sz w:val="28"/>
          <w:szCs w:val="28"/>
        </w:rPr>
        <w:t>ности атмосферного воздуха,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0A28">
        <w:rPr>
          <w:rFonts w:ascii="Times New Roman" w:hAnsi="Times New Roman" w:cs="Times New Roman"/>
          <w:sz w:val="28"/>
          <w:szCs w:val="28"/>
        </w:rPr>
        <w:t xml:space="preserve"> </w:t>
      </w:r>
      <w:r w:rsidRPr="00A80E69">
        <w:rPr>
          <w:rFonts w:ascii="Times New Roman" w:hAnsi="Times New Roman" w:cs="Times New Roman"/>
          <w:sz w:val="28"/>
          <w:szCs w:val="28"/>
        </w:rPr>
        <w:t xml:space="preserve">в Республике Хакасия </w:t>
      </w:r>
      <w:r w:rsidR="001F0A28" w:rsidRPr="001F0A28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федерального проекта «Чистый воздух» нац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ионального </w:t>
      </w:r>
      <w:r w:rsidR="001F0A28" w:rsidRPr="001F0A28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>проекта «Экологическое благополучие»</w:t>
      </w:r>
      <w:r w:rsidR="001F0A28">
        <w:rPr>
          <w:rFonts w:ascii="Times New Roman" w:hAnsi="Times New Roman" w:cs="Times New Roman"/>
          <w:color w:val="020C22"/>
          <w:sz w:val="28"/>
          <w:szCs w:val="28"/>
          <w:shd w:val="clear" w:color="auto" w:fill="FFFFFF"/>
        </w:rPr>
        <w:t xml:space="preserve"> </w:t>
      </w:r>
      <w:r w:rsidR="001F0A28">
        <w:rPr>
          <w:rFonts w:ascii="Times New Roman" w:hAnsi="Times New Roman" w:cs="Times New Roman"/>
          <w:sz w:val="28"/>
          <w:szCs w:val="28"/>
        </w:rPr>
        <w:t>и т.п.</w:t>
      </w:r>
    </w:p>
    <w:p w:rsidR="004D05F4" w:rsidRDefault="000011BD" w:rsidP="004D05F4">
      <w:pPr>
        <w:spacing w:after="0" w:line="240" w:lineRule="auto"/>
        <w:ind w:left="6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11BD">
        <w:rPr>
          <w:rFonts w:ascii="Times New Roman" w:hAnsi="Times New Roman" w:cs="Times New Roman"/>
          <w:sz w:val="28"/>
          <w:szCs w:val="28"/>
        </w:rPr>
        <w:t>В Верховный Совет как в течение 2024 года, так и в 2025 году поступило большое количество обращений от граждан и зоозащитных организаций</w:t>
      </w:r>
      <w:r w:rsidR="001F0A28">
        <w:rPr>
          <w:rFonts w:ascii="Times New Roman" w:hAnsi="Times New Roman" w:cs="Times New Roman"/>
          <w:sz w:val="28"/>
          <w:szCs w:val="28"/>
        </w:rPr>
        <w:t xml:space="preserve">. </w:t>
      </w:r>
      <w:r w:rsidR="004D05F4" w:rsidRPr="004D05F4">
        <w:rPr>
          <w:rFonts w:ascii="Times New Roman" w:hAnsi="Times New Roman" w:cs="Times New Roman"/>
          <w:sz w:val="28"/>
          <w:szCs w:val="28"/>
        </w:rPr>
        <w:t xml:space="preserve">Так, в марте 2025 года поступило наибольшее количество заявлений от граждан по вопросу обращения с животными без владельцев. Это связано с вступлением в силу с 01.04.2025 Закона Республики Хакасия от 08.01.2025 № </w:t>
      </w:r>
      <w:r w:rsidR="004D05F4">
        <w:rPr>
          <w:rFonts w:ascii="Times New Roman" w:hAnsi="Times New Roman" w:cs="Times New Roman"/>
          <w:sz w:val="28"/>
          <w:szCs w:val="28"/>
        </w:rPr>
        <w:t>01-ЗРХ</w:t>
      </w:r>
      <w:r w:rsidR="004D05F4" w:rsidRPr="004D05F4">
        <w:rPr>
          <w:rFonts w:ascii="Times New Roman" w:hAnsi="Times New Roman" w:cs="Times New Roman"/>
          <w:sz w:val="28"/>
          <w:szCs w:val="28"/>
        </w:rPr>
        <w:t xml:space="preserve"> «О регулировании отдельных вопросов в области обращения с животными без владельцев на территории Республики Хакасия», который был принят Верховным Советом 25 декабря 2024 года. В ходе рассмотрения данных обращений заявителям давались подробные разъяснения правоприменения принятого закона.</w:t>
      </w:r>
    </w:p>
    <w:p w:rsidR="00105C2D" w:rsidRDefault="00105C2D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C2D">
        <w:rPr>
          <w:rFonts w:ascii="Times New Roman" w:hAnsi="Times New Roman" w:cs="Times New Roman"/>
          <w:sz w:val="28"/>
          <w:szCs w:val="28"/>
        </w:rPr>
        <w:t>Также поступали обращения по вопросам труда и занятости населения (соблюдение норм 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05C2D">
        <w:rPr>
          <w:rFonts w:ascii="Times New Roman" w:hAnsi="Times New Roman" w:cs="Times New Roman"/>
          <w:sz w:val="28"/>
          <w:szCs w:val="28"/>
        </w:rPr>
        <w:t>), ремонта и строительства дорог, обеспечения транспортной доступности для населения и т.п.</w:t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В течение года председател</w:t>
      </w:r>
      <w:r w:rsidR="003A29F6">
        <w:rPr>
          <w:rFonts w:ascii="Times New Roman" w:hAnsi="Times New Roman" w:cs="Times New Roman"/>
          <w:sz w:val="28"/>
          <w:szCs w:val="28"/>
        </w:rPr>
        <w:t>и</w:t>
      </w:r>
      <w:r w:rsidRPr="00D84372">
        <w:rPr>
          <w:rFonts w:ascii="Times New Roman" w:hAnsi="Times New Roman" w:cs="Times New Roman"/>
          <w:sz w:val="28"/>
          <w:szCs w:val="28"/>
        </w:rPr>
        <w:t xml:space="preserve"> комитетов</w:t>
      </w:r>
      <w:r>
        <w:rPr>
          <w:rFonts w:ascii="Times New Roman" w:hAnsi="Times New Roman" w:cs="Times New Roman"/>
          <w:sz w:val="28"/>
          <w:szCs w:val="28"/>
        </w:rPr>
        <w:t xml:space="preserve"> (комиссии)</w:t>
      </w:r>
      <w:r w:rsidRPr="00D84372">
        <w:rPr>
          <w:rFonts w:ascii="Times New Roman" w:hAnsi="Times New Roman" w:cs="Times New Roman"/>
          <w:sz w:val="28"/>
          <w:szCs w:val="28"/>
        </w:rPr>
        <w:t xml:space="preserve"> Верховного Совета проводили личные приемы граждан согласно графику, </w:t>
      </w:r>
      <w:r w:rsidR="009D2CA2">
        <w:rPr>
          <w:rFonts w:ascii="Times New Roman" w:hAnsi="Times New Roman" w:cs="Times New Roman"/>
          <w:sz w:val="28"/>
          <w:szCs w:val="28"/>
        </w:rPr>
        <w:t>утвержденному</w:t>
      </w:r>
      <w:r w:rsidRPr="00D84372">
        <w:rPr>
          <w:rFonts w:ascii="Times New Roman" w:hAnsi="Times New Roman" w:cs="Times New Roman"/>
          <w:sz w:val="28"/>
          <w:szCs w:val="28"/>
        </w:rPr>
        <w:t xml:space="preserve"> Председателем Верховного Совета. Кроме того, депутаты Верховного Совета (председатели комитетов Верховного Совета) принимали избирателей на своих избирательных округах. </w:t>
      </w:r>
    </w:p>
    <w:p w:rsidR="00FE78FA" w:rsidRPr="00D84372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>Все замечания и предложения, пост</w:t>
      </w:r>
      <w:r w:rsidR="00A00B59">
        <w:rPr>
          <w:rFonts w:ascii="Times New Roman" w:hAnsi="Times New Roman" w:cs="Times New Roman"/>
          <w:sz w:val="28"/>
          <w:szCs w:val="28"/>
        </w:rPr>
        <w:t>упающие во время личных приемов</w:t>
      </w:r>
      <w:r w:rsidRPr="00D84372">
        <w:rPr>
          <w:rFonts w:ascii="Times New Roman" w:hAnsi="Times New Roman" w:cs="Times New Roman"/>
          <w:sz w:val="28"/>
          <w:szCs w:val="28"/>
        </w:rPr>
        <w:t xml:space="preserve"> </w:t>
      </w:r>
      <w:r w:rsidR="00A00B59">
        <w:rPr>
          <w:rFonts w:ascii="Times New Roman" w:hAnsi="Times New Roman" w:cs="Times New Roman"/>
          <w:sz w:val="28"/>
          <w:szCs w:val="28"/>
        </w:rPr>
        <w:t xml:space="preserve">и </w:t>
      </w:r>
      <w:r w:rsidRPr="00D84372">
        <w:rPr>
          <w:rFonts w:ascii="Times New Roman" w:hAnsi="Times New Roman" w:cs="Times New Roman"/>
          <w:sz w:val="28"/>
          <w:szCs w:val="28"/>
        </w:rPr>
        <w:t>в</w:t>
      </w:r>
      <w:r w:rsidR="00A00B59">
        <w:rPr>
          <w:rFonts w:ascii="Times New Roman" w:hAnsi="Times New Roman" w:cs="Times New Roman"/>
          <w:sz w:val="28"/>
          <w:szCs w:val="28"/>
        </w:rPr>
        <w:t>стреч –</w:t>
      </w:r>
      <w:r w:rsidRPr="00D84372">
        <w:rPr>
          <w:rFonts w:ascii="Times New Roman" w:hAnsi="Times New Roman" w:cs="Times New Roman"/>
          <w:sz w:val="28"/>
          <w:szCs w:val="28"/>
        </w:rPr>
        <w:t xml:space="preserve"> как в устной, так и </w:t>
      </w:r>
      <w:r w:rsidR="00A00B59">
        <w:rPr>
          <w:rFonts w:ascii="Times New Roman" w:hAnsi="Times New Roman" w:cs="Times New Roman"/>
          <w:sz w:val="28"/>
          <w:szCs w:val="28"/>
        </w:rPr>
        <w:t xml:space="preserve">в </w:t>
      </w:r>
      <w:r w:rsidRPr="00D84372">
        <w:rPr>
          <w:rFonts w:ascii="Times New Roman" w:hAnsi="Times New Roman" w:cs="Times New Roman"/>
          <w:sz w:val="28"/>
          <w:szCs w:val="28"/>
        </w:rPr>
        <w:t xml:space="preserve">письменной форме, </w:t>
      </w:r>
      <w:r w:rsidR="00A00B59" w:rsidRPr="00A00B59">
        <w:rPr>
          <w:rFonts w:ascii="Times New Roman" w:hAnsi="Times New Roman" w:cs="Times New Roman"/>
          <w:sz w:val="28"/>
          <w:szCs w:val="28"/>
        </w:rPr>
        <w:t>–</w:t>
      </w:r>
      <w:r w:rsidR="00A00B59">
        <w:rPr>
          <w:rFonts w:ascii="Times New Roman" w:hAnsi="Times New Roman" w:cs="Times New Roman"/>
          <w:sz w:val="28"/>
          <w:szCs w:val="28"/>
        </w:rPr>
        <w:t xml:space="preserve"> </w:t>
      </w:r>
      <w:r w:rsidRPr="00D84372">
        <w:rPr>
          <w:rFonts w:ascii="Times New Roman" w:hAnsi="Times New Roman" w:cs="Times New Roman"/>
          <w:sz w:val="28"/>
          <w:szCs w:val="28"/>
        </w:rPr>
        <w:t xml:space="preserve">обобщаются и анализируются. Информация о принятых по обращению </w:t>
      </w:r>
      <w:r w:rsidR="00A00B59">
        <w:rPr>
          <w:rFonts w:ascii="Times New Roman" w:hAnsi="Times New Roman" w:cs="Times New Roman"/>
          <w:sz w:val="28"/>
          <w:szCs w:val="28"/>
        </w:rPr>
        <w:t xml:space="preserve">мерах </w:t>
      </w:r>
      <w:r w:rsidRPr="00D84372">
        <w:rPr>
          <w:rFonts w:ascii="Times New Roman" w:hAnsi="Times New Roman" w:cs="Times New Roman"/>
          <w:sz w:val="28"/>
          <w:szCs w:val="28"/>
        </w:rPr>
        <w:t>доводится до заявителя.</w:t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72">
        <w:rPr>
          <w:rFonts w:ascii="Times New Roman" w:hAnsi="Times New Roman" w:cs="Times New Roman"/>
          <w:sz w:val="28"/>
          <w:szCs w:val="28"/>
        </w:rPr>
        <w:t xml:space="preserve">Все поступившие обращения граждан </w:t>
      </w:r>
      <w:r w:rsidR="00883E2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D84372">
        <w:rPr>
          <w:rFonts w:ascii="Times New Roman" w:hAnsi="Times New Roman" w:cs="Times New Roman"/>
          <w:sz w:val="28"/>
          <w:szCs w:val="28"/>
        </w:rPr>
        <w:t xml:space="preserve">зарегистрированы в установленные </w:t>
      </w:r>
      <w:r w:rsidR="00883E24" w:rsidRPr="00883E24">
        <w:rPr>
          <w:rFonts w:ascii="Times New Roman" w:hAnsi="Times New Roman" w:cs="Times New Roman"/>
          <w:sz w:val="28"/>
          <w:szCs w:val="28"/>
        </w:rPr>
        <w:t>Федеральны</w:t>
      </w:r>
      <w:r w:rsidR="00883E24">
        <w:rPr>
          <w:rFonts w:ascii="Times New Roman" w:hAnsi="Times New Roman" w:cs="Times New Roman"/>
          <w:sz w:val="28"/>
          <w:szCs w:val="28"/>
        </w:rPr>
        <w:t>м</w:t>
      </w:r>
      <w:r w:rsidR="00883E24" w:rsidRPr="00883E2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3E24">
        <w:rPr>
          <w:rFonts w:ascii="Times New Roman" w:hAnsi="Times New Roman" w:cs="Times New Roman"/>
          <w:sz w:val="28"/>
          <w:szCs w:val="28"/>
        </w:rPr>
        <w:t xml:space="preserve">ом </w:t>
      </w:r>
      <w:r w:rsidR="00883E24" w:rsidRPr="00883E24">
        <w:rPr>
          <w:rFonts w:ascii="Times New Roman" w:hAnsi="Times New Roman" w:cs="Times New Roman"/>
          <w:sz w:val="28"/>
          <w:szCs w:val="28"/>
        </w:rPr>
        <w:t>№ 59-ФЗ</w:t>
      </w:r>
      <w:r w:rsidRPr="00D84372">
        <w:rPr>
          <w:rFonts w:ascii="Times New Roman" w:hAnsi="Times New Roman" w:cs="Times New Roman"/>
          <w:sz w:val="28"/>
          <w:szCs w:val="28"/>
        </w:rPr>
        <w:t xml:space="preserve"> сроки, рассмотрены по существу или перенаправлены по компетенции, </w:t>
      </w:r>
      <w:r w:rsidR="00883E24">
        <w:rPr>
          <w:rFonts w:ascii="Times New Roman" w:hAnsi="Times New Roman" w:cs="Times New Roman"/>
          <w:sz w:val="28"/>
          <w:szCs w:val="28"/>
        </w:rPr>
        <w:t xml:space="preserve">а </w:t>
      </w:r>
      <w:r w:rsidRPr="00D84372"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="00883E2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D84372">
        <w:rPr>
          <w:rFonts w:ascii="Times New Roman" w:hAnsi="Times New Roman" w:cs="Times New Roman"/>
          <w:sz w:val="28"/>
          <w:szCs w:val="28"/>
        </w:rPr>
        <w:t>направлены ответы.</w:t>
      </w:r>
    </w:p>
    <w:p w:rsidR="00FE78FA" w:rsidRDefault="00846AE2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AE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FE78FA" w:rsidRPr="00F4187F">
        <w:rPr>
          <w:rFonts w:ascii="Times New Roman" w:hAnsi="Times New Roman" w:cs="Times New Roman"/>
          <w:sz w:val="28"/>
          <w:szCs w:val="28"/>
        </w:rPr>
        <w:t xml:space="preserve">проводится аналитическая работа по выявлению причин обращений граждан, усилен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FE78FA" w:rsidRPr="00F4187F">
        <w:rPr>
          <w:rFonts w:ascii="Times New Roman" w:hAnsi="Times New Roman" w:cs="Times New Roman"/>
          <w:sz w:val="28"/>
          <w:szCs w:val="28"/>
        </w:rPr>
        <w:t>обращений.</w:t>
      </w:r>
    </w:p>
    <w:p w:rsidR="00FE78FA" w:rsidRDefault="00FE78FA" w:rsidP="00FE78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исполнение </w:t>
      </w:r>
      <w:r w:rsidRPr="00F4187F">
        <w:rPr>
          <w:rFonts w:ascii="Times New Roman" w:hAnsi="Times New Roman" w:cs="Times New Roman"/>
          <w:sz w:val="28"/>
          <w:szCs w:val="28"/>
        </w:rPr>
        <w:t>Указа Президента Р</w:t>
      </w:r>
      <w:r w:rsidR="00846A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4187F">
        <w:rPr>
          <w:rFonts w:ascii="Times New Roman" w:hAnsi="Times New Roman" w:cs="Times New Roman"/>
          <w:sz w:val="28"/>
          <w:szCs w:val="28"/>
        </w:rPr>
        <w:t>Ф</w:t>
      </w:r>
      <w:r w:rsidR="00846AE2">
        <w:rPr>
          <w:rFonts w:ascii="Times New Roman" w:hAnsi="Times New Roman" w:cs="Times New Roman"/>
          <w:sz w:val="28"/>
          <w:szCs w:val="28"/>
        </w:rPr>
        <w:t>едерации</w:t>
      </w:r>
      <w:r w:rsidRPr="00F4187F">
        <w:rPr>
          <w:rFonts w:ascii="Times New Roman" w:hAnsi="Times New Roman" w:cs="Times New Roman"/>
          <w:sz w:val="28"/>
          <w:szCs w:val="28"/>
        </w:rPr>
        <w:t xml:space="preserve"> от </w:t>
      </w:r>
      <w:r w:rsidR="00846AE2">
        <w:rPr>
          <w:rFonts w:ascii="Times New Roman" w:hAnsi="Times New Roman" w:cs="Times New Roman"/>
          <w:sz w:val="28"/>
          <w:szCs w:val="28"/>
        </w:rPr>
        <w:t>17.04.2017</w:t>
      </w:r>
      <w:r w:rsidRPr="00F4187F">
        <w:rPr>
          <w:rFonts w:ascii="Times New Roman" w:hAnsi="Times New Roman" w:cs="Times New Roman"/>
          <w:sz w:val="28"/>
          <w:szCs w:val="28"/>
        </w:rPr>
        <w:t xml:space="preserve"> № 171 «О мониторинге и анализе результатов рассмотрения обращений граждан и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 ежемесячно в Администрацию Президента Российской Федерации </w:t>
      </w:r>
      <w:r w:rsidR="00AF1693" w:rsidRPr="00AF1693">
        <w:rPr>
          <w:rFonts w:ascii="Times New Roman" w:hAnsi="Times New Roman" w:cs="Times New Roman"/>
          <w:sz w:val="28"/>
          <w:szCs w:val="28"/>
        </w:rPr>
        <w:t xml:space="preserve">представлялась </w:t>
      </w: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обращений граждан посредством использования закрытого информационного ресурса ССТУ.РФ.</w:t>
      </w:r>
      <w:bookmarkStart w:id="0" w:name="_GoBack"/>
      <w:bookmarkEnd w:id="0"/>
    </w:p>
    <w:p w:rsidR="00595885" w:rsidRPr="00B0714F" w:rsidRDefault="00595885" w:rsidP="002C3A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95885" w:rsidRPr="00B0714F" w:rsidSect="00DA6899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86" w:rsidRDefault="008F0386" w:rsidP="00264F16">
      <w:pPr>
        <w:spacing w:after="0" w:line="240" w:lineRule="auto"/>
      </w:pPr>
      <w:r>
        <w:separator/>
      </w:r>
    </w:p>
  </w:endnote>
  <w:endnote w:type="continuationSeparator" w:id="0">
    <w:p w:rsidR="008F0386" w:rsidRDefault="008F0386" w:rsidP="0026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86" w:rsidRDefault="008F0386" w:rsidP="00264F16">
      <w:pPr>
        <w:spacing w:after="0" w:line="240" w:lineRule="auto"/>
      </w:pPr>
      <w:r>
        <w:separator/>
      </w:r>
    </w:p>
  </w:footnote>
  <w:footnote w:type="continuationSeparator" w:id="0">
    <w:p w:rsidR="008F0386" w:rsidRDefault="008F0386" w:rsidP="0026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06179"/>
      <w:docPartObj>
        <w:docPartGallery w:val="Page Numbers (Top of Page)"/>
        <w:docPartUnique/>
      </w:docPartObj>
    </w:sdtPr>
    <w:sdtEndPr/>
    <w:sdtContent>
      <w:p w:rsidR="000011BD" w:rsidRDefault="000011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9D">
          <w:rPr>
            <w:noProof/>
          </w:rPr>
          <w:t>8</w:t>
        </w:r>
        <w:r>
          <w:fldChar w:fldCharType="end"/>
        </w:r>
      </w:p>
    </w:sdtContent>
  </w:sdt>
  <w:p w:rsidR="000011BD" w:rsidRDefault="00001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8FA"/>
    <w:rsid w:val="0000033B"/>
    <w:rsid w:val="000011BD"/>
    <w:rsid w:val="00003C93"/>
    <w:rsid w:val="000114AE"/>
    <w:rsid w:val="00021B00"/>
    <w:rsid w:val="0005500E"/>
    <w:rsid w:val="00063E81"/>
    <w:rsid w:val="00067A2F"/>
    <w:rsid w:val="00067E43"/>
    <w:rsid w:val="00075C9E"/>
    <w:rsid w:val="000A7A7D"/>
    <w:rsid w:val="000C4EBB"/>
    <w:rsid w:val="000C5F44"/>
    <w:rsid w:val="000C6A60"/>
    <w:rsid w:val="0010448C"/>
    <w:rsid w:val="00105C2D"/>
    <w:rsid w:val="001138F5"/>
    <w:rsid w:val="00114711"/>
    <w:rsid w:val="001407D9"/>
    <w:rsid w:val="00142E75"/>
    <w:rsid w:val="00166FE3"/>
    <w:rsid w:val="00172F5C"/>
    <w:rsid w:val="001817F7"/>
    <w:rsid w:val="00187C41"/>
    <w:rsid w:val="001A7308"/>
    <w:rsid w:val="001F0A28"/>
    <w:rsid w:val="001F608B"/>
    <w:rsid w:val="001F6D4B"/>
    <w:rsid w:val="00203303"/>
    <w:rsid w:val="00221C30"/>
    <w:rsid w:val="002301A9"/>
    <w:rsid w:val="002479D0"/>
    <w:rsid w:val="00255486"/>
    <w:rsid w:val="00264F16"/>
    <w:rsid w:val="002A5197"/>
    <w:rsid w:val="002B2FCC"/>
    <w:rsid w:val="002C3A81"/>
    <w:rsid w:val="002D0A06"/>
    <w:rsid w:val="0031684D"/>
    <w:rsid w:val="00316DB0"/>
    <w:rsid w:val="00332455"/>
    <w:rsid w:val="00341AE2"/>
    <w:rsid w:val="00342E0D"/>
    <w:rsid w:val="00374B6B"/>
    <w:rsid w:val="00376636"/>
    <w:rsid w:val="00390F24"/>
    <w:rsid w:val="003A29F6"/>
    <w:rsid w:val="003A6F65"/>
    <w:rsid w:val="003D656C"/>
    <w:rsid w:val="003E11E6"/>
    <w:rsid w:val="003F0752"/>
    <w:rsid w:val="003F3975"/>
    <w:rsid w:val="0040117F"/>
    <w:rsid w:val="00410B3B"/>
    <w:rsid w:val="004220E8"/>
    <w:rsid w:val="004509E5"/>
    <w:rsid w:val="00456A97"/>
    <w:rsid w:val="0048665E"/>
    <w:rsid w:val="004A3F0F"/>
    <w:rsid w:val="004A5B48"/>
    <w:rsid w:val="004D05F4"/>
    <w:rsid w:val="004D40B4"/>
    <w:rsid w:val="004D5093"/>
    <w:rsid w:val="004E65C8"/>
    <w:rsid w:val="004E7F76"/>
    <w:rsid w:val="004F374F"/>
    <w:rsid w:val="004F6C41"/>
    <w:rsid w:val="00516620"/>
    <w:rsid w:val="00517EC8"/>
    <w:rsid w:val="00523397"/>
    <w:rsid w:val="00530CFE"/>
    <w:rsid w:val="005420C5"/>
    <w:rsid w:val="00567F22"/>
    <w:rsid w:val="005823E1"/>
    <w:rsid w:val="005912CC"/>
    <w:rsid w:val="00595885"/>
    <w:rsid w:val="005A3BD1"/>
    <w:rsid w:val="005A4B2C"/>
    <w:rsid w:val="005B759E"/>
    <w:rsid w:val="005D2626"/>
    <w:rsid w:val="005D6501"/>
    <w:rsid w:val="005E12AE"/>
    <w:rsid w:val="005E13A1"/>
    <w:rsid w:val="00602197"/>
    <w:rsid w:val="00603D21"/>
    <w:rsid w:val="00612F1E"/>
    <w:rsid w:val="00630B3A"/>
    <w:rsid w:val="00641516"/>
    <w:rsid w:val="00666C76"/>
    <w:rsid w:val="00674890"/>
    <w:rsid w:val="0068412D"/>
    <w:rsid w:val="00694DCA"/>
    <w:rsid w:val="006A40AF"/>
    <w:rsid w:val="006B1A2E"/>
    <w:rsid w:val="006B6119"/>
    <w:rsid w:val="006C5F9D"/>
    <w:rsid w:val="006E75BD"/>
    <w:rsid w:val="00700B11"/>
    <w:rsid w:val="00710DBA"/>
    <w:rsid w:val="00722C10"/>
    <w:rsid w:val="00756260"/>
    <w:rsid w:val="00765873"/>
    <w:rsid w:val="00767A20"/>
    <w:rsid w:val="00772C55"/>
    <w:rsid w:val="007B1D16"/>
    <w:rsid w:val="007C12D5"/>
    <w:rsid w:val="007C5E2C"/>
    <w:rsid w:val="007D1081"/>
    <w:rsid w:val="007D731B"/>
    <w:rsid w:val="007E2901"/>
    <w:rsid w:val="007E47FA"/>
    <w:rsid w:val="007F1823"/>
    <w:rsid w:val="00815620"/>
    <w:rsid w:val="00816B72"/>
    <w:rsid w:val="00841319"/>
    <w:rsid w:val="00846AE2"/>
    <w:rsid w:val="0086174F"/>
    <w:rsid w:val="00867F18"/>
    <w:rsid w:val="0088173A"/>
    <w:rsid w:val="00883E24"/>
    <w:rsid w:val="00885A2B"/>
    <w:rsid w:val="008B30E9"/>
    <w:rsid w:val="008C53AF"/>
    <w:rsid w:val="008E49AE"/>
    <w:rsid w:val="008E5776"/>
    <w:rsid w:val="008E6015"/>
    <w:rsid w:val="008E6600"/>
    <w:rsid w:val="008F0386"/>
    <w:rsid w:val="00900F35"/>
    <w:rsid w:val="00907F67"/>
    <w:rsid w:val="00924111"/>
    <w:rsid w:val="0093072D"/>
    <w:rsid w:val="0093124D"/>
    <w:rsid w:val="00934825"/>
    <w:rsid w:val="00940E04"/>
    <w:rsid w:val="00947D4F"/>
    <w:rsid w:val="00952A15"/>
    <w:rsid w:val="00970D7F"/>
    <w:rsid w:val="00992D52"/>
    <w:rsid w:val="009B1579"/>
    <w:rsid w:val="009B2379"/>
    <w:rsid w:val="009B3C75"/>
    <w:rsid w:val="009B5FE9"/>
    <w:rsid w:val="009D01BD"/>
    <w:rsid w:val="009D2CA2"/>
    <w:rsid w:val="009F2A74"/>
    <w:rsid w:val="00A003A2"/>
    <w:rsid w:val="00A00B59"/>
    <w:rsid w:val="00A03909"/>
    <w:rsid w:val="00A237E8"/>
    <w:rsid w:val="00A3550D"/>
    <w:rsid w:val="00A35922"/>
    <w:rsid w:val="00A36A87"/>
    <w:rsid w:val="00A372B4"/>
    <w:rsid w:val="00A6721C"/>
    <w:rsid w:val="00A80E69"/>
    <w:rsid w:val="00A82594"/>
    <w:rsid w:val="00AA7505"/>
    <w:rsid w:val="00AC4E85"/>
    <w:rsid w:val="00AF1693"/>
    <w:rsid w:val="00AF4C18"/>
    <w:rsid w:val="00B0714F"/>
    <w:rsid w:val="00B25D67"/>
    <w:rsid w:val="00B33D69"/>
    <w:rsid w:val="00B468F9"/>
    <w:rsid w:val="00B55E3D"/>
    <w:rsid w:val="00B60B17"/>
    <w:rsid w:val="00B644B0"/>
    <w:rsid w:val="00B802EF"/>
    <w:rsid w:val="00B86CDD"/>
    <w:rsid w:val="00BA260A"/>
    <w:rsid w:val="00BB0793"/>
    <w:rsid w:val="00BB2FCC"/>
    <w:rsid w:val="00BD33AF"/>
    <w:rsid w:val="00BD6BEC"/>
    <w:rsid w:val="00BE49C0"/>
    <w:rsid w:val="00C07265"/>
    <w:rsid w:val="00C47AAF"/>
    <w:rsid w:val="00C47E87"/>
    <w:rsid w:val="00C64418"/>
    <w:rsid w:val="00C77367"/>
    <w:rsid w:val="00C84B88"/>
    <w:rsid w:val="00CE2EF8"/>
    <w:rsid w:val="00CF2CB5"/>
    <w:rsid w:val="00D12F74"/>
    <w:rsid w:val="00D402B4"/>
    <w:rsid w:val="00D40A13"/>
    <w:rsid w:val="00D54901"/>
    <w:rsid w:val="00D55027"/>
    <w:rsid w:val="00D721C3"/>
    <w:rsid w:val="00D81B9A"/>
    <w:rsid w:val="00D92AAB"/>
    <w:rsid w:val="00DA6899"/>
    <w:rsid w:val="00DC2410"/>
    <w:rsid w:val="00DC6F9D"/>
    <w:rsid w:val="00DE1C4B"/>
    <w:rsid w:val="00DF4396"/>
    <w:rsid w:val="00E009DA"/>
    <w:rsid w:val="00E20ED0"/>
    <w:rsid w:val="00E2789D"/>
    <w:rsid w:val="00E43812"/>
    <w:rsid w:val="00E57947"/>
    <w:rsid w:val="00E64B32"/>
    <w:rsid w:val="00E67F32"/>
    <w:rsid w:val="00E67F33"/>
    <w:rsid w:val="00E71C08"/>
    <w:rsid w:val="00E77772"/>
    <w:rsid w:val="00E81B42"/>
    <w:rsid w:val="00E9165B"/>
    <w:rsid w:val="00EA15A9"/>
    <w:rsid w:val="00EB655A"/>
    <w:rsid w:val="00EC3F8A"/>
    <w:rsid w:val="00ED01F0"/>
    <w:rsid w:val="00EF5AE7"/>
    <w:rsid w:val="00F001BB"/>
    <w:rsid w:val="00F165EC"/>
    <w:rsid w:val="00F52695"/>
    <w:rsid w:val="00F63949"/>
    <w:rsid w:val="00F74516"/>
    <w:rsid w:val="00FA1853"/>
    <w:rsid w:val="00FE3B7E"/>
    <w:rsid w:val="00FE5494"/>
    <w:rsid w:val="00FE638C"/>
    <w:rsid w:val="00FE78FA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78F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b">
    <w:name w:val="Normal (Web)"/>
    <w:basedOn w:val="a"/>
    <w:uiPriority w:val="99"/>
    <w:semiHidden/>
    <w:unhideWhenUsed/>
    <w:rsid w:val="0095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2"/>
    <w:rsid w:val="009F2A74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9F2A74"/>
    <w:pPr>
      <w:shd w:val="clear" w:color="auto" w:fill="FFFFFF"/>
      <w:spacing w:before="420" w:after="240" w:line="298" w:lineRule="exact"/>
    </w:pPr>
    <w:rPr>
      <w:rFonts w:ascii="Batang" w:eastAsia="Batang" w:hAnsi="Batang" w:cs="Batang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обращений,</a:t>
            </a:r>
            <a:r>
              <a:rPr lang="ru-RU" baseline="0"/>
              <a:t> </a:t>
            </a:r>
          </a:p>
          <a:p>
            <a:pPr>
              <a:defRPr/>
            </a:pPr>
            <a:r>
              <a:rPr lang="ru-RU" baseline="0"/>
              <a:t>поступивших в Верховный Совет РХ</a:t>
            </a:r>
            <a:endParaRPr lang="ru-RU"/>
          </a:p>
        </c:rich>
      </c:tx>
      <c:layout>
        <c:manualLayout>
          <c:xMode val="edge"/>
          <c:yMode val="edge"/>
          <c:x val="9.6863517060367457E-2"/>
          <c:y val="3.571428571428571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223</c:v>
                </c:pt>
                <c:pt idx="1">
                  <c:v>255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215744"/>
        <c:axId val="67217280"/>
      </c:barChart>
      <c:catAx>
        <c:axId val="6721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7217280"/>
        <c:crosses val="autoZero"/>
        <c:auto val="1"/>
        <c:lblAlgn val="ctr"/>
        <c:lblOffset val="100"/>
        <c:noMultiLvlLbl val="0"/>
      </c:catAx>
      <c:valAx>
        <c:axId val="6721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215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</c:v>
                </c:pt>
                <c:pt idx="11">
                  <c:v>Декабрь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17</c:v>
                </c:pt>
                <c:pt idx="1">
                  <c:v>25</c:v>
                </c:pt>
                <c:pt idx="2">
                  <c:v>28</c:v>
                </c:pt>
                <c:pt idx="3">
                  <c:v>24</c:v>
                </c:pt>
                <c:pt idx="4">
                  <c:v>22</c:v>
                </c:pt>
                <c:pt idx="5">
                  <c:v>15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23</c:v>
                </c:pt>
                <c:pt idx="10">
                  <c:v>15</c:v>
                </c:pt>
                <c:pt idx="1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</c:v>
                </c:pt>
                <c:pt idx="11">
                  <c:v>Декабрь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32</c:v>
                </c:pt>
                <c:pt idx="1">
                  <c:v>28</c:v>
                </c:pt>
                <c:pt idx="2">
                  <c:v>71</c:v>
                </c:pt>
                <c:pt idx="3">
                  <c:v>14</c:v>
                </c:pt>
                <c:pt idx="4">
                  <c:v>14</c:v>
                </c:pt>
                <c:pt idx="5">
                  <c:v>14</c:v>
                </c:pt>
                <c:pt idx="6">
                  <c:v>8</c:v>
                </c:pt>
                <c:pt idx="7">
                  <c:v>5</c:v>
                </c:pt>
                <c:pt idx="8">
                  <c:v>21</c:v>
                </c:pt>
                <c:pt idx="9">
                  <c:v>18</c:v>
                </c:pt>
                <c:pt idx="10">
                  <c:v>17</c:v>
                </c:pt>
                <c:pt idx="1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264640"/>
        <c:axId val="65299200"/>
      </c:barChart>
      <c:catAx>
        <c:axId val="65264640"/>
        <c:scaling>
          <c:orientation val="minMax"/>
        </c:scaling>
        <c:delete val="0"/>
        <c:axPos val="b"/>
        <c:majorTickMark val="out"/>
        <c:minorTickMark val="none"/>
        <c:tickLblPos val="nextTo"/>
        <c:crossAx val="65299200"/>
        <c:crosses val="autoZero"/>
        <c:auto val="1"/>
        <c:lblAlgn val="ctr"/>
        <c:lblOffset val="100"/>
        <c:noMultiLvlLbl val="0"/>
      </c:catAx>
      <c:valAx>
        <c:axId val="6529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5264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Способ поступления обращений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лично</c:v>
                </c:pt>
                <c:pt idx="1">
                  <c:v>почта РФ</c:v>
                </c:pt>
                <c:pt idx="2">
                  <c:v>интернет-приемная, электронная почта, ПОС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105</c:v>
                </c:pt>
                <c:pt idx="1">
                  <c:v>71</c:v>
                </c:pt>
                <c:pt idx="2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Количество </a:t>
            </a:r>
          </a:p>
          <a:p>
            <a:pPr>
              <a:defRPr/>
            </a:pPr>
            <a:r>
              <a:rPr lang="ru-RU" sz="1800" b="1" i="0" u="none" strike="noStrike" baseline="0">
                <a:effectLst/>
              </a:rPr>
              <a:t>поступивших коллективных обращений 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896512"/>
        <c:axId val="78902400"/>
      </c:barChart>
      <c:catAx>
        <c:axId val="7889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902400"/>
        <c:crosses val="autoZero"/>
        <c:auto val="1"/>
        <c:lblAlgn val="ctr"/>
        <c:lblOffset val="100"/>
        <c:noMultiLvlLbl val="0"/>
      </c:catAx>
      <c:valAx>
        <c:axId val="78902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896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D6CC3-BD8F-4753-8DFE-A3DE610C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С. Безверхая</dc:creator>
  <cp:lastModifiedBy>Жанна С. Безверхая</cp:lastModifiedBy>
  <cp:revision>2</cp:revision>
  <cp:lastPrinted>2026-02-17T02:10:00Z</cp:lastPrinted>
  <dcterms:created xsi:type="dcterms:W3CDTF">2026-03-26T08:53:00Z</dcterms:created>
  <dcterms:modified xsi:type="dcterms:W3CDTF">2026-03-26T08:53:00Z</dcterms:modified>
</cp:coreProperties>
</file>